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Description w:val="Tabla de diseño principal"/>
      </w:tblPr>
      <w:tblGrid>
        <w:gridCol w:w="5115"/>
        <w:gridCol w:w="3672"/>
      </w:tblGrid>
      <w:tr w:rsidR="00184664" w:rsidRPr="00A85B6F" w:rsidTr="00216F23">
        <w:tc>
          <w:tcPr>
            <w:tcW w:w="5115" w:type="dxa"/>
            <w:tcBorders>
              <w:right w:val="single" w:sz="12" w:space="0" w:color="94B6D2" w:themeColor="accent1"/>
            </w:tcBorders>
            <w:tcMar>
              <w:bottom w:w="0" w:type="dxa"/>
              <w:right w:w="0" w:type="dxa"/>
            </w:tcMar>
          </w:tcPr>
          <w:tbl>
            <w:tblPr>
              <w:tblW w:w="4221" w:type="pct"/>
              <w:tblLayout w:type="fixed"/>
              <w:tblCellMar>
                <w:left w:w="360" w:type="dxa"/>
                <w:bottom w:w="403" w:type="dxa"/>
                <w:right w:w="360" w:type="dxa"/>
              </w:tblCellMar>
              <w:tblLook w:val="04A0" w:firstRow="1" w:lastRow="0" w:firstColumn="1" w:lastColumn="0" w:noHBand="0" w:noVBand="1"/>
              <w:tblDescription w:val="Diseño de tabla de lado izquierdo"/>
            </w:tblPr>
            <w:tblGrid>
              <w:gridCol w:w="4305"/>
            </w:tblGrid>
            <w:tr w:rsidR="00184664" w:rsidRPr="00A85B6F" w:rsidTr="00FC75EA">
              <w:trPr>
                <w:trHeight w:hRule="exact" w:val="2165"/>
              </w:trPr>
              <w:tc>
                <w:tcPr>
                  <w:tcW w:w="5000" w:type="pct"/>
                </w:tcPr>
                <w:p w:rsidR="00184664" w:rsidRPr="00A85B6F" w:rsidRDefault="00184664" w:rsidP="00A90477">
                  <w:pPr>
                    <w:pStyle w:val="Ttulo2"/>
                  </w:pPr>
                </w:p>
              </w:tc>
            </w:tr>
            <w:tr w:rsidR="00184664" w:rsidRPr="00A85B6F" w:rsidTr="00FC75EA">
              <w:trPr>
                <w:trHeight w:val="8447"/>
              </w:trPr>
              <w:tc>
                <w:tcPr>
                  <w:tcW w:w="5000" w:type="pct"/>
                  <w:tcMar>
                    <w:top w:w="403" w:type="dxa"/>
                  </w:tcMar>
                </w:tcPr>
                <w:p w:rsidR="004670DD" w:rsidRPr="00A85B6F" w:rsidRDefault="003D2647" w:rsidP="00A90477">
                  <w:pPr>
                    <w:pStyle w:val="Fecha"/>
                  </w:pPr>
                  <w:bookmarkStart w:id="0" w:name="_GoBack"/>
                  <w:bookmarkEnd w:id="0"/>
                  <w:r>
                    <w:rPr>
                      <w:b/>
                      <w:bCs/>
                      <w:noProof/>
                      <w:lang w:val="es-MX" w:eastAsia="es-MX"/>
                    </w:rPr>
                    <w:drawing>
                      <wp:anchor distT="0" distB="0" distL="114300" distR="114300" simplePos="0" relativeHeight="251659264" behindDoc="1" locked="0" layoutInCell="1" allowOverlap="1" wp14:anchorId="42F86821" wp14:editId="4EBF88F6">
                        <wp:simplePos x="0" y="0"/>
                        <wp:positionH relativeFrom="margin">
                          <wp:posOffset>824865</wp:posOffset>
                        </wp:positionH>
                        <wp:positionV relativeFrom="margin">
                          <wp:posOffset>4145280</wp:posOffset>
                        </wp:positionV>
                        <wp:extent cx="2869928" cy="1499309"/>
                        <wp:effectExtent l="0" t="0" r="0" b="0"/>
                        <wp:wrapNone/>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bl>
          <w:p w:rsidR="00184664" w:rsidRPr="00A85B6F" w:rsidRDefault="00184664" w:rsidP="00E75971"/>
        </w:tc>
        <w:tc>
          <w:tcPr>
            <w:tcW w:w="3672" w:type="dxa"/>
            <w:tcBorders>
              <w:left w:val="single" w:sz="12" w:space="0" w:color="94B6D2" w:themeColor="accent1"/>
            </w:tcBorders>
            <w:tcMar>
              <w:bottom w:w="0" w:type="dxa"/>
            </w:tcMar>
          </w:tcPr>
          <w:tbl>
            <w:tblPr>
              <w:tblpPr w:leftFromText="141" w:rightFromText="141" w:tblpY="1260"/>
              <w:tblOverlap w:val="never"/>
              <w:tblW w:w="4396" w:type="dxa"/>
              <w:tblLayout w:type="fixed"/>
              <w:tblCellMar>
                <w:left w:w="360" w:type="dxa"/>
                <w:bottom w:w="403" w:type="dxa"/>
                <w:right w:w="360" w:type="dxa"/>
              </w:tblCellMar>
              <w:tblLook w:val="04A0" w:firstRow="1" w:lastRow="0" w:firstColumn="1" w:lastColumn="0" w:noHBand="0" w:noVBand="1"/>
              <w:tblDescription w:val="Tabla de diseño de lado derecho"/>
            </w:tblPr>
            <w:tblGrid>
              <w:gridCol w:w="4396"/>
            </w:tblGrid>
            <w:tr w:rsidR="00184664" w:rsidRPr="00A85B6F" w:rsidTr="008A6708">
              <w:trPr>
                <w:trHeight w:hRule="exact" w:val="2771"/>
              </w:trPr>
              <w:tc>
                <w:tcPr>
                  <w:tcW w:w="5000" w:type="pct"/>
                  <w:tcBorders>
                    <w:top w:val="single" w:sz="12" w:space="0" w:color="94B6D2" w:themeColor="accent1"/>
                    <w:bottom w:val="single" w:sz="12" w:space="0" w:color="94B6D2" w:themeColor="accent1"/>
                    <w:right w:val="single" w:sz="12" w:space="0" w:color="94B6D2" w:themeColor="accent1"/>
                  </w:tcBorders>
                  <w:shd w:val="clear" w:color="auto" w:fill="94B6D2" w:themeFill="accent1"/>
                  <w:tcMar>
                    <w:top w:w="0" w:type="dxa"/>
                  </w:tcMar>
                </w:tcPr>
                <w:p w:rsidR="00A458EE" w:rsidRDefault="00A458EE" w:rsidP="00A458EE">
                  <w:pPr>
                    <w:pStyle w:val="Ttulo3"/>
                    <w:ind w:right="492"/>
                    <w:jc w:val="left"/>
                    <w:rPr>
                      <w:rFonts w:ascii="Arial" w:hAnsi="Arial" w:cs="Arial"/>
                      <w:smallCaps/>
                      <w:color w:val="FFFFFF" w:themeColor="background1"/>
                      <w:sz w:val="44"/>
                      <w:szCs w:val="44"/>
                    </w:rPr>
                  </w:pPr>
                  <w:r>
                    <w:rPr>
                      <w:rFonts w:ascii="Arial" w:hAnsi="Arial" w:cs="Arial"/>
                      <w:smallCaps/>
                      <w:color w:val="FFFFFF" w:themeColor="background1"/>
                      <w:sz w:val="44"/>
                      <w:szCs w:val="44"/>
                    </w:rPr>
                    <w:t xml:space="preserve">9.1 </w:t>
                  </w:r>
                </w:p>
                <w:p w:rsidR="00184664" w:rsidRPr="0080316C" w:rsidRDefault="00A458EE" w:rsidP="00A458EE">
                  <w:pPr>
                    <w:pStyle w:val="Ttulo3"/>
                    <w:ind w:right="492"/>
                    <w:jc w:val="left"/>
                    <w:rPr>
                      <w:smallCaps/>
                    </w:rPr>
                  </w:pPr>
                  <w:r>
                    <w:rPr>
                      <w:rFonts w:ascii="Arial" w:hAnsi="Arial" w:cs="Arial"/>
                      <w:smallCaps/>
                      <w:color w:val="FFFFFF" w:themeColor="background1"/>
                      <w:sz w:val="44"/>
                      <w:szCs w:val="44"/>
                    </w:rPr>
                    <w:t>Diagnóstico</w:t>
                  </w:r>
                </w:p>
              </w:tc>
            </w:tr>
          </w:tbl>
          <w:p w:rsidR="006337E6" w:rsidRPr="00A85B6F" w:rsidRDefault="006337E6" w:rsidP="00E75971"/>
        </w:tc>
      </w:tr>
    </w:tbl>
    <w:p w:rsidR="00A90477" w:rsidRPr="00C0599C" w:rsidRDefault="00216F23" w:rsidP="00C0599C">
      <w:pPr>
        <w:pStyle w:val="Sinespaciado"/>
        <w:jc w:val="right"/>
        <w:rPr>
          <w:b/>
          <w:sz w:val="22"/>
        </w:rPr>
      </w:pPr>
      <w:r w:rsidRPr="00C0599C">
        <w:rPr>
          <w:b/>
          <w:sz w:val="22"/>
        </w:rPr>
        <w:t>Segunda Sesión Ordinaria de Consejo Directivo 2017</w:t>
      </w:r>
    </w:p>
    <w:p w:rsidR="00A90477" w:rsidRDefault="00A90477" w:rsidP="004670DD">
      <w:pPr>
        <w:pStyle w:val="Sinespaciado"/>
      </w:pPr>
    </w:p>
    <w:p w:rsidR="00A458EE" w:rsidRDefault="00A458EE" w:rsidP="004670DD">
      <w:pPr>
        <w:pStyle w:val="Sinespaciado"/>
      </w:pPr>
    </w:p>
    <w:p w:rsidR="00FC359F" w:rsidRDefault="00FC359F" w:rsidP="004670DD">
      <w:pPr>
        <w:pStyle w:val="Sinespaciado"/>
      </w:pPr>
    </w:p>
    <w:p w:rsidR="00FC359F" w:rsidRDefault="00FC359F" w:rsidP="004670DD">
      <w:pPr>
        <w:pStyle w:val="Sinespaciado"/>
      </w:pPr>
    </w:p>
    <w:p w:rsidR="00FC359F" w:rsidRDefault="00FC359F" w:rsidP="004670DD">
      <w:pPr>
        <w:pStyle w:val="Sinespaciado"/>
      </w:pPr>
    </w:p>
    <w:p w:rsidR="00FC359F" w:rsidRDefault="00FC359F" w:rsidP="004670DD">
      <w:pPr>
        <w:pStyle w:val="Sinespaciado"/>
      </w:pPr>
    </w:p>
    <w:p w:rsidR="00FC359F" w:rsidRDefault="00FC359F" w:rsidP="004670DD">
      <w:pPr>
        <w:pStyle w:val="Sinespaciado"/>
      </w:pPr>
    </w:p>
    <w:p w:rsidR="00FC359F" w:rsidRDefault="00FC359F" w:rsidP="004670DD">
      <w:pPr>
        <w:pStyle w:val="Sinespaciado"/>
      </w:pPr>
    </w:p>
    <w:p w:rsidR="00FC359F" w:rsidRDefault="00FC359F" w:rsidP="004670DD">
      <w:pPr>
        <w:pStyle w:val="Sinespaciado"/>
      </w:pPr>
    </w:p>
    <w:p w:rsidR="00FC359F" w:rsidRDefault="00FC359F" w:rsidP="004670DD">
      <w:pPr>
        <w:pStyle w:val="Sinespaciado"/>
      </w:pPr>
    </w:p>
    <w:p w:rsidR="00FC359F" w:rsidRDefault="00FC359F" w:rsidP="004670DD">
      <w:pPr>
        <w:pStyle w:val="Sinespaciado"/>
      </w:pP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9. Programa Anual de Trabajo (PAT) 2018</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9.1</w:t>
      </w:r>
      <w:r w:rsidRPr="00FC359F">
        <w:rPr>
          <w:rFonts w:ascii="Arial" w:eastAsia="Times New Roman" w:hAnsi="Arial" w:cs="Arial"/>
          <w:b/>
          <w:color w:val="auto"/>
          <w:sz w:val="24"/>
          <w:szCs w:val="24"/>
          <w:lang w:val="es-MX" w:eastAsia="es-MX"/>
        </w:rPr>
        <w:tab/>
        <w:t>Diagnóstico</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El Programa Estratégico de Mediano Plazo 2014-2018 y los Programas de Trabajo desarrollados en años anteriores, han permitido a la institución avances significativos en su proyecto de desarrollo institucional. El Colegio de San Luis, se encuentra ahora en un momento significativo de su consolidación y los avances y logros alcanzados son resultado del trabajo realizado por su comunidad en los años recientes.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A pesar de las condiciones adversas prevalecientes en la región y en el país, se puede afirmar que la institución ha logrado fortalecer su planta académica, ha incrementado su matrícula y la totalidad de sus programas docentes se encuentran acreditados por el Programa Nacional del Posgrado de Calidad (PNPC). Su Programa Editorial, la Biblioteca, las Tecnologías de la Información, las herramientas que facilitan el trabajo académico y de investigación y las áreas operativas han funcionado de manera continua, ciertamente con algunos contratiempos, pero que han sido superados, lo que ha permitido cumplir con las metas y objetivos comprometidos.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Existen algunos retos a alcanzar en los próximos años y si las condiciones lo permiten habrá que continuar trabajando de manera prioritaria en la revisión y actualización del modelo de organización académica de tal manera que esta pueda ajustarse a las nuevas necesidades y requerimientos de los tiempos actuales; procurar la internacionalización de los programas de posgrado y lograr que un número cada vez mayor de profesores investigadores se incorporen al Sistema Nacional de Investigadores son algunas de las metas a lograr.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Alcanzar estos retos permitirá a El Colegio de San Luis mantener su consolidación en la región y posicionarse sólidamente a nivel nacional como Centro Público de Investigación de calidad.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El Programa Anual de Trabajo para el año 2018 (PAT) tiene como propósito continuar en el año con las actividades que permitan alcanzar los objetivos, metas, </w:t>
      </w:r>
      <w:r w:rsidRPr="00FC359F">
        <w:rPr>
          <w:rFonts w:ascii="Arial" w:eastAsia="Times New Roman" w:hAnsi="Arial" w:cs="Arial"/>
          <w:color w:val="auto"/>
          <w:sz w:val="24"/>
          <w:szCs w:val="24"/>
          <w:lang w:val="es-MX" w:eastAsia="es-MX"/>
        </w:rPr>
        <w:lastRenderedPageBreak/>
        <w:t>e indicadores comprometidos por la institución en el</w:t>
      </w:r>
      <w:r w:rsidRPr="00FC359F">
        <w:rPr>
          <w:rFonts w:ascii="Arial" w:eastAsia="Times New Roman" w:hAnsi="Arial" w:cs="Arial"/>
          <w:b/>
          <w:color w:val="auto"/>
          <w:sz w:val="24"/>
          <w:szCs w:val="24"/>
          <w:lang w:val="es-MX" w:eastAsia="es-MX"/>
        </w:rPr>
        <w:t xml:space="preserve"> </w:t>
      </w:r>
      <w:r w:rsidRPr="00FC359F">
        <w:rPr>
          <w:rFonts w:ascii="Arial" w:eastAsia="Times New Roman" w:hAnsi="Arial" w:cs="Arial"/>
          <w:color w:val="auto"/>
          <w:sz w:val="24"/>
          <w:szCs w:val="24"/>
          <w:lang w:val="es-MX" w:eastAsia="es-MX"/>
        </w:rPr>
        <w:t xml:space="preserve">Programa Estratégico de Mediano Plazo 2014-2018.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Los proyectos que continuarán desarrollándose en el año 2018, están alineados al Plan Nacional de Desarrollo 2013-2018 (PND) y al Programa Especial de Ciencia y Tecnología 2014-2018 (</w:t>
      </w:r>
      <w:proofErr w:type="spellStart"/>
      <w:r w:rsidRPr="00FC359F">
        <w:rPr>
          <w:rFonts w:ascii="Arial" w:eastAsia="Times New Roman" w:hAnsi="Arial" w:cs="Arial"/>
          <w:color w:val="auto"/>
          <w:sz w:val="24"/>
          <w:szCs w:val="24"/>
          <w:lang w:val="es-MX" w:eastAsia="es-MX"/>
        </w:rPr>
        <w:t>PECiTI</w:t>
      </w:r>
      <w:proofErr w:type="spellEnd"/>
      <w:r w:rsidRPr="00FC359F">
        <w:rPr>
          <w:rFonts w:ascii="Arial" w:eastAsia="Times New Roman" w:hAnsi="Arial" w:cs="Arial"/>
          <w:color w:val="auto"/>
          <w:sz w:val="24"/>
          <w:szCs w:val="24"/>
          <w:lang w:val="es-MX" w:eastAsia="es-MX"/>
        </w:rPr>
        <w:t xml:space="preserve">). Las estrategias y sus metas, son producto del proceso de planeación institucional a cargo de la Presidencia de El Colegio, de las Secretarías General y Académica y sobre todo de su comunidad.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Las actividades a desarrollar en el año 2018 se orientan a lograr los cinco objetivos estratégicos establecidos en el Plan Estratégico: 1) Consolidación Institucional, 2) Generación de Capital Humano de Alto Nivel, 3) Desarrollo de Proyectos de Investigación de Impacto Regional, 4) Acercamiento de la Ciencia a los Sectores Sociales y 5) Sociedad del Conocimiento.</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Para cada uno de estos objetivos, se describen las estrategias que deberán desarrollarse en el año 2018 y consideran para su desarrollo las nuevas políticas y criterios planteados por el modelo de reestructuración del Sistema de Centros Públicos de Investigación (SCPI) sectorizados en el Consejo Nacional de Ciencia y Tecnología (CONACYT) de la Coordinación 5 Historia y Antropología Social a la que pertenece la institución.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Es importante mencionar que algunas de las actividades definidas para cada estrategia y que se retoman en el Programa Anual 2018, se iniciaron en el año 2014, por ello es necesario mantener su continuidad y desarrollo para que su realización óptima pueda lograrse antes de finalizar el año 2018.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De esta manera, el programa de trabajo se compone de 5 objetivos estratégicos, 39 líneas estratégicas que involucran el desarrollo de 118 proyectos. </w:t>
      </w:r>
    </w:p>
    <w:p w:rsidR="00FC359F" w:rsidRPr="00FC359F" w:rsidRDefault="00FC359F" w:rsidP="00FC359F">
      <w:pPr>
        <w:tabs>
          <w:tab w:val="left" w:pos="3855"/>
        </w:tabs>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Objetivo Estratégico 1</w:t>
      </w:r>
      <w:r w:rsidRPr="00FC359F">
        <w:rPr>
          <w:rFonts w:ascii="Arial" w:eastAsia="Times New Roman" w:hAnsi="Arial" w:cs="Arial"/>
          <w:b/>
          <w:color w:val="auto"/>
          <w:sz w:val="24"/>
          <w:szCs w:val="24"/>
          <w:lang w:val="es-MX" w:eastAsia="es-MX"/>
        </w:rPr>
        <w:tab/>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b/>
          <w:color w:val="auto"/>
          <w:sz w:val="24"/>
          <w:szCs w:val="24"/>
          <w:lang w:val="es-MX" w:eastAsia="es-MX"/>
        </w:rPr>
        <w:t xml:space="preserve">Consolidación Institucional. </w:t>
      </w:r>
      <w:r w:rsidRPr="00FC359F">
        <w:rPr>
          <w:rFonts w:ascii="Arial" w:eastAsia="Times New Roman" w:hAnsi="Arial" w:cs="Arial"/>
          <w:color w:val="auto"/>
          <w:sz w:val="24"/>
          <w:szCs w:val="24"/>
          <w:lang w:val="es-MX" w:eastAsia="es-MX"/>
        </w:rPr>
        <w:t xml:space="preserve">Consolidar a El Colegio de San Luis como institución líder en las Ciencias Sociales y Humanidades en la Región Centro Norte del País. </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Estrategia 1A</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i/>
          <w:color w:val="auto"/>
          <w:sz w:val="24"/>
          <w:szCs w:val="24"/>
          <w:u w:val="single"/>
          <w:lang w:val="es-MX" w:eastAsia="es-MX"/>
        </w:rPr>
        <w:t>Fortalecimiento de los programas de investigación y de formación de recursos humanos.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1A1. Fortalecimiento de la Planta Académica. Tiene como propósito incorporar nuevos profesores investigadores para fortalecer los núcleos académicos y las líneas de investigación que se desarrollan en El Colegio, así como </w:t>
      </w:r>
      <w:r w:rsidRPr="00FC359F">
        <w:rPr>
          <w:rFonts w:ascii="Arial" w:eastAsia="Times New Roman" w:hAnsi="Arial" w:cs="Arial"/>
          <w:color w:val="auto"/>
          <w:sz w:val="24"/>
          <w:szCs w:val="24"/>
          <w:lang w:val="es-MX" w:eastAsia="es-MX"/>
        </w:rPr>
        <w:lastRenderedPageBreak/>
        <w:t xml:space="preserve">promover la incorporación de por lo menos el 70% de los profesores investigadores al SNI y propiciar la movilidad de los profesores investigadores en el sistema. Se estima que en el año 2018, el número de investigadores en el SNI se sostendrá en al menos 70%. </w:t>
      </w:r>
      <w:r w:rsidRPr="00FC359F">
        <w:rPr>
          <w:rFonts w:ascii="Arial" w:eastAsia="Times New Roman" w:hAnsi="Arial" w:cs="Arial"/>
          <w:color w:val="0070C0"/>
          <w:sz w:val="24"/>
          <w:szCs w:val="24"/>
          <w:lang w:val="es-MX" w:eastAsia="es-MX"/>
        </w:rPr>
        <w:t xml:space="preserve">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1A2. Evaluación Institucional. Impulsar la evaluación realizada por pares académicos a fin de conocer los avances y logros institucionales que se deriven del desarrollo institucional. En el año 2018, se espera conocer los resultados de la evaluación institucional que realizará el Comité Interinstitucional para la Evaluación de la Educación Superior (CIEES) al Programa de Licenciatura en Relaciones Internacionales así como los resultados de la evaluación de dos programas de posgrado –la maestría en Asuntos Políticos y Políticas Públicas y la maestría en Literatura Hispanoamericana –. Actualmente ambos programas se encuentran en el </w:t>
      </w:r>
      <w:r w:rsidRPr="00FC359F">
        <w:rPr>
          <w:rFonts w:ascii="Arial" w:eastAsia="Times New Roman" w:hAnsi="Arial" w:cs="Arial"/>
          <w:i/>
          <w:color w:val="auto"/>
          <w:sz w:val="24"/>
          <w:szCs w:val="24"/>
          <w:lang w:val="es-MX" w:eastAsia="es-MX"/>
        </w:rPr>
        <w:t xml:space="preserve">Nivel En Desarrollo </w:t>
      </w:r>
      <w:r w:rsidRPr="00FC359F">
        <w:rPr>
          <w:rFonts w:ascii="Arial" w:eastAsia="Times New Roman" w:hAnsi="Arial" w:cs="Arial"/>
          <w:color w:val="auto"/>
          <w:sz w:val="24"/>
          <w:szCs w:val="24"/>
          <w:lang w:val="es-MX" w:eastAsia="es-MX"/>
        </w:rPr>
        <w:t xml:space="preserve">del Programa Nacional del Posgrado de Calidad (PNPC-CONACYT). De los resultados que se obtengan en la evaluación institucional, de la evaluación de la licenciatura y de las maestrías, se podrán replantear acciones estratégicas para continuar fortaleciendo el desarrollo institucional.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1A3. Actualización del Modelo de Organización Académica. Para el año 2018 se propone continuar con los trabajos que permitan revisar el modelo de organización académica actual – programas de investigación- y su posible migración a un modelo de organización académica que propicie la articulación de las líneas de investigación y la interrelación de los profesores investigadores. La propuesta original establece evaluar la viabilidad de migrar hacia un modelo en que, los Centros de Estudio sean las unidades básicas del trabajo académico.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1A4. Ampliación de la infraestructura. Contribuir mediante la ampliación de la planta física a consolidar la infraestructura física destinada a la investigación científica estatal y de la región. En el año 2018 se espera continuar con el equipamiento de las nuevas instalaciones resultantes de la ampliación de la Biblioteca Rafael Montejano y </w:t>
      </w:r>
      <w:proofErr w:type="spellStart"/>
      <w:r w:rsidRPr="00FC359F">
        <w:rPr>
          <w:rFonts w:ascii="Arial" w:eastAsia="Times New Roman" w:hAnsi="Arial" w:cs="Arial"/>
          <w:color w:val="auto"/>
          <w:sz w:val="24"/>
          <w:szCs w:val="24"/>
          <w:lang w:val="es-MX" w:eastAsia="es-MX"/>
        </w:rPr>
        <w:t>Aguiñaga</w:t>
      </w:r>
      <w:proofErr w:type="spellEnd"/>
      <w:r w:rsidRPr="00FC359F">
        <w:rPr>
          <w:rFonts w:ascii="Arial" w:eastAsia="Times New Roman" w:hAnsi="Arial" w:cs="Arial"/>
          <w:color w:val="auto"/>
          <w:sz w:val="24"/>
          <w:szCs w:val="24"/>
          <w:lang w:val="es-MX" w:eastAsia="es-MX"/>
        </w:rPr>
        <w:t xml:space="preserve">, el Centro de Documentación y de 17 cubículos para profesores investigadores. Es importante considerar que mediante esta acción, se han incorporado a la infraestructura científica estatal y regional aproximadamente 3000 </w:t>
      </w:r>
      <w:proofErr w:type="gramStart"/>
      <w:r w:rsidRPr="00FC359F">
        <w:rPr>
          <w:rFonts w:ascii="Arial" w:eastAsia="Times New Roman" w:hAnsi="Arial" w:cs="Arial"/>
          <w:color w:val="auto"/>
          <w:sz w:val="24"/>
          <w:szCs w:val="24"/>
          <w:vertAlign w:val="superscript"/>
          <w:lang w:val="es-MX" w:eastAsia="es-MX"/>
        </w:rPr>
        <w:t xml:space="preserve">m2  </w:t>
      </w:r>
      <w:r w:rsidRPr="00FC359F">
        <w:rPr>
          <w:rFonts w:ascii="Arial" w:eastAsia="Times New Roman" w:hAnsi="Arial" w:cs="Arial"/>
          <w:color w:val="auto"/>
          <w:sz w:val="24"/>
          <w:szCs w:val="24"/>
          <w:lang w:val="es-MX" w:eastAsia="es-MX"/>
        </w:rPr>
        <w:t>de</w:t>
      </w:r>
      <w:proofErr w:type="gramEnd"/>
      <w:r w:rsidRPr="00FC359F">
        <w:rPr>
          <w:rFonts w:ascii="Arial" w:eastAsia="Times New Roman" w:hAnsi="Arial" w:cs="Arial"/>
          <w:color w:val="auto"/>
          <w:sz w:val="24"/>
          <w:szCs w:val="24"/>
          <w:lang w:val="es-MX" w:eastAsia="es-MX"/>
        </w:rPr>
        <w:t xml:space="preserve"> construcción. Como parte de las acciones a realizar en el año 2018 se espera colocar una cubierta de protección al edificio No. 5 que aloja al archivo institucional. Es importante recordar que en el año 2017, se obtuvo el registro de la cartera de inversión para desarrollar esta actividad, sin embargo, las condiciones prevalecientes en la economía han imposibilitado contar con los recursos financieros necesarios para el desarrollo de este proyecto.</w:t>
      </w:r>
      <w:r w:rsidRPr="00FC359F">
        <w:rPr>
          <w:rFonts w:ascii="Arial" w:eastAsia="Times New Roman" w:hAnsi="Arial" w:cs="Arial"/>
          <w:color w:val="auto"/>
          <w:sz w:val="24"/>
          <w:szCs w:val="24"/>
          <w:vertAlign w:val="superscript"/>
          <w:lang w:val="es-MX" w:eastAsia="es-MX"/>
        </w:rPr>
        <w:t xml:space="preserve"> </w:t>
      </w:r>
      <w:r w:rsidRPr="00FC359F">
        <w:rPr>
          <w:rFonts w:ascii="Arial" w:eastAsia="Times New Roman" w:hAnsi="Arial" w:cs="Arial"/>
          <w:color w:val="auto"/>
          <w:sz w:val="24"/>
          <w:szCs w:val="24"/>
          <w:lang w:val="es-MX" w:eastAsia="es-MX"/>
        </w:rPr>
        <w:t xml:space="preserve">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lastRenderedPageBreak/>
        <w:t xml:space="preserve">Proyecto 1A5. Apoyar las estancias de investigación nacionales y en el extranjero a través del programa de movilidad institucional. En el año 2018 se continuará apoyando a través del Programa de Becas y Ayudas Económicas las estancias de investigación académicas nacionales y en el extranjero de los profesores investigadores y de los estudiantes, considerando para ello los planes de trabajo individuales.  </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Estrategia 1B</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i/>
          <w:color w:val="auto"/>
          <w:sz w:val="24"/>
          <w:szCs w:val="24"/>
          <w:u w:val="single"/>
          <w:lang w:val="es-MX" w:eastAsia="es-MX"/>
        </w:rPr>
        <w:t>Creación de nodos de conocimiento que atiendan a las prioridades regionales y nacionales</w:t>
      </w:r>
      <w:r w:rsidRPr="00FC359F">
        <w:rPr>
          <w:rFonts w:ascii="Arial" w:eastAsia="Times New Roman" w:hAnsi="Arial" w:cs="Arial"/>
          <w:i/>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color w:val="0070C0"/>
          <w:sz w:val="24"/>
          <w:szCs w:val="24"/>
          <w:lang w:val="es-MX" w:eastAsia="es-MX"/>
        </w:rPr>
      </w:pPr>
      <w:r w:rsidRPr="00FC359F">
        <w:rPr>
          <w:rFonts w:ascii="Arial" w:eastAsia="Times New Roman" w:hAnsi="Arial" w:cs="Arial"/>
          <w:color w:val="auto"/>
          <w:sz w:val="24"/>
          <w:szCs w:val="24"/>
          <w:lang w:val="es-MX" w:eastAsia="es-MX"/>
        </w:rPr>
        <w:t xml:space="preserve">Proyecto 1B1. Identificar temáticas emergentes en la región. Contribuir a la solución de problemas sociales regionales. En el año 2018 continuará el desarrollo de por lo menos 77 proyectos de investigación a cargo de los profesores investigadores. Es importante mencionar que, la mayor parte de los proyectos abordan problemas regionales de interés social. En el año 2018, se espera la incorporación de dos (2) nuevos proyectos considerados prioritarios. Además, se espera contar  con la participación de los profesores investigadores en nuevos proyectos que pueden ser financiados por otras fuentes externas como fondos de  Ciencia Básica CONACYT, FOMIX – SLP, Gobierno del Estado y organismos nacionales y del extranjero.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1B2. Elaborar proyectos de investigación sobre temas específicos. Generar conocimientos y propuestas a la solución de problemas regionales. En el año 2018 los profesores investigadores continuarán desarrollando proyectos de investigación con temas de interés para la región como los siguientes: Migración, Minería y Sustentabilidad, Agua y Recursos Naturales, Diversidad Cultural y Derecho Indígena, Estudios de Género, Ciudades y Desarrollo Humano, Combate a la Pobreza y Soberanía Alimentaria, Patrimonio Cultural y Gobernabilidad, y Seguridad Humana, entre otros.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1B3. Constituir Grupos de investigación Especializados en Temáticas Identificadas. Mediante este proyecto se plantea promover la discusión de ejes problemáticos en la región Centro Norte del País. Actualmente se cuenta con grupos de investigación especializada en temáticas de Agua y Recursos Naturales, Agenda Social del Agua, Minería, Desierto y Zonas Áridas, Alimentación, Grupos Campesinos y Estudios de Género y Violencia. En el año 2018 se continuará fortaleciendo la integración de Grupos Especializados en temáticas prioritarias en la región.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1B4. Fomentar grupos de Investigación multidisciplinarios que atiendan áreas estratégicas. Desarrollar investigación innovadora que contribuya a alcanzar </w:t>
      </w:r>
      <w:r w:rsidRPr="00FC359F">
        <w:rPr>
          <w:rFonts w:ascii="Arial" w:eastAsia="Times New Roman" w:hAnsi="Arial" w:cs="Arial"/>
          <w:color w:val="auto"/>
          <w:sz w:val="24"/>
          <w:szCs w:val="24"/>
          <w:lang w:val="es-MX" w:eastAsia="es-MX"/>
        </w:rPr>
        <w:lastRenderedPageBreak/>
        <w:t xml:space="preserve">las metas nacionales definidas en el Plan Nacional de Desarrollo. A finales del año 2013 se integraron diversas propuestas de proyectos multidisciplinarios e interinstitucionales relacionados con las prioridades nacionales (PILAS) en alimentación, salud, energías renovables, sustentabilidad y adaptación al cambio climático, diseño, desarrollo y aplicación de </w:t>
      </w:r>
      <w:proofErr w:type="spellStart"/>
      <w:r w:rsidRPr="00FC359F">
        <w:rPr>
          <w:rFonts w:ascii="Arial" w:eastAsia="Times New Roman" w:hAnsi="Arial" w:cs="Arial"/>
          <w:color w:val="auto"/>
          <w:sz w:val="24"/>
          <w:szCs w:val="24"/>
          <w:lang w:val="es-MX" w:eastAsia="es-MX"/>
        </w:rPr>
        <w:t>TIC’s</w:t>
      </w:r>
      <w:proofErr w:type="spellEnd"/>
      <w:r w:rsidRPr="00FC359F">
        <w:rPr>
          <w:rFonts w:ascii="Arial" w:eastAsia="Times New Roman" w:hAnsi="Arial" w:cs="Arial"/>
          <w:color w:val="auto"/>
          <w:sz w:val="24"/>
          <w:szCs w:val="24"/>
          <w:lang w:val="es-MX" w:eastAsia="es-MX"/>
        </w:rPr>
        <w:t xml:space="preserve">, derechos humanos, seguridad y justicia. Se espera que en el año 2018 el apoyo de la Coordinadora Sectorial permita iniciar las actividades de estos grupos de trabajo.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Para el año 2018</w:t>
      </w:r>
      <w:r w:rsidRPr="00FC359F">
        <w:rPr>
          <w:rFonts w:ascii="Arial" w:eastAsia="Times New Roman" w:hAnsi="Arial" w:cs="Arial"/>
          <w:color w:val="FF0000"/>
          <w:sz w:val="24"/>
          <w:szCs w:val="24"/>
          <w:lang w:val="es-MX" w:eastAsia="es-MX"/>
        </w:rPr>
        <w:t xml:space="preserve"> </w:t>
      </w:r>
      <w:r w:rsidRPr="00FC359F">
        <w:rPr>
          <w:rFonts w:ascii="Arial" w:eastAsia="Times New Roman" w:hAnsi="Arial" w:cs="Arial"/>
          <w:color w:val="auto"/>
          <w:sz w:val="24"/>
          <w:szCs w:val="24"/>
          <w:lang w:val="es-MX" w:eastAsia="es-MX"/>
        </w:rPr>
        <w:t>El Colegio continuará participando en los grupos de trabajo que se han establecido específicamente en las áreas de alimentación y obesidad y diabetes y participará en las nuevas propuestas que se presentan para Ciencias Sociales y Humanidades dentro de la nueva estructura de proyectos del Programa de Investigación de Largo Aliento (PILAS).</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 xml:space="preserve">Estrategia 1C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i/>
          <w:color w:val="auto"/>
          <w:sz w:val="24"/>
          <w:szCs w:val="24"/>
          <w:u w:val="single"/>
          <w:lang w:val="es-MX" w:eastAsia="es-MX"/>
        </w:rPr>
        <w:t>Red de relaciones con los sectores social y productivo</w:t>
      </w:r>
      <w:r w:rsidRPr="00FC359F">
        <w:rPr>
          <w:rFonts w:ascii="Arial" w:eastAsia="Times New Roman" w:hAnsi="Arial" w:cs="Arial"/>
          <w:i/>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1C1. Programa de Difusión. Difundir los proyectos y resultados de investigación con el sector social y productivo. En el año 2018 se continuará con la difusión de las actividades académicas y de divulgación de El Colegio, mediante boletines electrónicos, prensa, radio, televisión, participación en CADI, medios digitales y redes sociales.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1C2. Unidad de Vinculación. La Unidad de Vinculación fue creada a principios del año 2014 y su objetivo principal es la de servir de enlace con los sectores público, social y productivo, a través de sus actividades se ha logrado un mayor acercamiento con estos sectores y se espera que en el año 2018 alcance un nivel de consolidación como área estratégica para el posicionamiento de la institución en la región.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1C3. Vida Social y Democrática. Promover convenios de colaboración para el fomento y promoción de la cultura cívica a nivel municipal y estatal. En el año 2018 continuarán vigentes y en proceso de desarrollo de colaboración institucional con los sectores gubernamental, social y privado que promueven la cultura cívica en la localidad. </w:t>
      </w:r>
    </w:p>
    <w:p w:rsidR="00FC359F" w:rsidRPr="00FC359F" w:rsidRDefault="00FC359F" w:rsidP="00FC359F">
      <w:pPr>
        <w:spacing w:after="200" w:line="276" w:lineRule="auto"/>
        <w:jc w:val="both"/>
        <w:rPr>
          <w:rFonts w:ascii="Arial" w:eastAsia="Times New Roman" w:hAnsi="Arial" w:cs="Arial"/>
          <w:b/>
          <w:color w:val="auto"/>
          <w:sz w:val="24"/>
          <w:szCs w:val="24"/>
          <w:u w:val="single"/>
          <w:lang w:val="es-MX" w:eastAsia="es-MX"/>
        </w:rPr>
      </w:pPr>
      <w:r w:rsidRPr="00FC359F">
        <w:rPr>
          <w:rFonts w:ascii="Arial" w:eastAsia="Times New Roman" w:hAnsi="Arial" w:cs="Arial"/>
          <w:b/>
          <w:color w:val="auto"/>
          <w:sz w:val="24"/>
          <w:szCs w:val="24"/>
          <w:lang w:val="es-MX" w:eastAsia="es-MX"/>
        </w:rPr>
        <w:t>Estrategia 1D</w:t>
      </w:r>
    </w:p>
    <w:p w:rsidR="00FC359F" w:rsidRPr="00FC359F" w:rsidRDefault="00FC359F" w:rsidP="00FC359F">
      <w:pPr>
        <w:spacing w:after="200" w:line="276" w:lineRule="auto"/>
        <w:jc w:val="both"/>
        <w:rPr>
          <w:rFonts w:ascii="Arial" w:eastAsia="Times New Roman" w:hAnsi="Arial" w:cs="Arial"/>
          <w:i/>
          <w:color w:val="auto"/>
          <w:sz w:val="24"/>
          <w:szCs w:val="24"/>
          <w:lang w:val="es-MX" w:eastAsia="es-MX"/>
        </w:rPr>
      </w:pPr>
      <w:r w:rsidRPr="00FC359F">
        <w:rPr>
          <w:rFonts w:ascii="Arial" w:eastAsia="Times New Roman" w:hAnsi="Arial" w:cs="Arial"/>
          <w:i/>
          <w:color w:val="auto"/>
          <w:sz w:val="24"/>
          <w:szCs w:val="24"/>
          <w:u w:val="single"/>
          <w:lang w:val="es-MX" w:eastAsia="es-MX"/>
        </w:rPr>
        <w:t xml:space="preserve">Mejoramiento </w:t>
      </w:r>
      <w:proofErr w:type="gramStart"/>
      <w:r w:rsidRPr="00FC359F">
        <w:rPr>
          <w:rFonts w:ascii="Arial" w:eastAsia="Times New Roman" w:hAnsi="Arial" w:cs="Arial"/>
          <w:i/>
          <w:color w:val="auto"/>
          <w:sz w:val="24"/>
          <w:szCs w:val="24"/>
          <w:u w:val="single"/>
          <w:lang w:val="es-MX" w:eastAsia="es-MX"/>
        </w:rPr>
        <w:t>continuo</w:t>
      </w:r>
      <w:proofErr w:type="gramEnd"/>
      <w:r w:rsidRPr="00FC359F">
        <w:rPr>
          <w:rFonts w:ascii="Arial" w:eastAsia="Times New Roman" w:hAnsi="Arial" w:cs="Arial"/>
          <w:i/>
          <w:color w:val="auto"/>
          <w:sz w:val="24"/>
          <w:szCs w:val="24"/>
          <w:u w:val="single"/>
          <w:lang w:val="es-MX" w:eastAsia="es-MX"/>
        </w:rPr>
        <w:t xml:space="preserve"> de la Biblioteca</w:t>
      </w:r>
      <w:r w:rsidRPr="00FC359F">
        <w:rPr>
          <w:rFonts w:ascii="Arial" w:eastAsia="Times New Roman" w:hAnsi="Arial" w:cs="Arial"/>
          <w:i/>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1D1. Ampliación física de las instalaciones. Ampliar los servicios que brinda la Biblioteca a la Comunidad Académica, estudiantes y público en general </w:t>
      </w:r>
      <w:r w:rsidRPr="00FC359F">
        <w:rPr>
          <w:rFonts w:ascii="Arial" w:eastAsia="Times New Roman" w:hAnsi="Arial" w:cs="Arial"/>
          <w:color w:val="auto"/>
          <w:sz w:val="24"/>
          <w:szCs w:val="24"/>
          <w:lang w:val="es-MX" w:eastAsia="es-MX"/>
        </w:rPr>
        <w:lastRenderedPageBreak/>
        <w:t xml:space="preserve">de la región. La ampliación de la Biblioteca “Rafael Montejano y </w:t>
      </w:r>
      <w:proofErr w:type="spellStart"/>
      <w:r w:rsidRPr="00FC359F">
        <w:rPr>
          <w:rFonts w:ascii="Arial" w:eastAsia="Times New Roman" w:hAnsi="Arial" w:cs="Arial"/>
          <w:color w:val="auto"/>
          <w:sz w:val="24"/>
          <w:szCs w:val="24"/>
          <w:lang w:val="es-MX" w:eastAsia="es-MX"/>
        </w:rPr>
        <w:t>Aguiñaga</w:t>
      </w:r>
      <w:proofErr w:type="spellEnd"/>
      <w:r w:rsidRPr="00FC359F">
        <w:rPr>
          <w:rFonts w:ascii="Arial" w:eastAsia="Times New Roman" w:hAnsi="Arial" w:cs="Arial"/>
          <w:color w:val="auto"/>
          <w:sz w:val="24"/>
          <w:szCs w:val="24"/>
          <w:lang w:val="es-MX" w:eastAsia="es-MX"/>
        </w:rPr>
        <w:t xml:space="preserve">” comprende la incorporación de cerca de 3000 </w:t>
      </w:r>
      <w:r w:rsidRPr="00FC359F">
        <w:rPr>
          <w:rFonts w:ascii="Arial" w:eastAsia="Times New Roman" w:hAnsi="Arial" w:cs="Arial"/>
          <w:color w:val="auto"/>
          <w:sz w:val="24"/>
          <w:szCs w:val="24"/>
          <w:vertAlign w:val="superscript"/>
          <w:lang w:val="es-MX" w:eastAsia="es-MX"/>
        </w:rPr>
        <w:t xml:space="preserve">m2 </w:t>
      </w:r>
      <w:r w:rsidRPr="00FC359F">
        <w:rPr>
          <w:rFonts w:ascii="Arial" w:eastAsia="Times New Roman" w:hAnsi="Arial" w:cs="Arial"/>
          <w:color w:val="auto"/>
          <w:sz w:val="24"/>
          <w:szCs w:val="24"/>
          <w:lang w:val="es-MX" w:eastAsia="es-MX"/>
        </w:rPr>
        <w:t>de nuevos espacios. Incluye área de acervo, centro de documentación, videoteca. En el año 2018, se espera poder concluir el equipamiento de estas instalaciones y mantenerlas en un nivel óptimo de operación para ampliar los servicios a la comunidad académica, estudiantes y público en general.</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1D2. Incrementar el acervo, las colecciones, el acceso a bases de datos y revistas especializadas en ciencias sociales y humanidades. Brindar acceso a servicios de información, consulta especializada y actualizada en formato impreso y a través de medios electrónicos. La Biblioteca cuenta actualmente con más de 87,400 volúmenes y se proporcionan 7500 servicios mensuales a usuarios. Para el año 2018 se estima que el acervo se incrementará a 91,000 volúmenes. Se atenderán a por lo menos 10,000 usuarios por año. Para brindar los servicios de información, actualmente la Biblioteca cuenta con 18 bases de datos especializadas que se espera mantener en 2018.</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1D3. Formación de Usuarios. Capacitar a los usuarios sobre la utilización de los recursos bibliográficos y de la información disponible en las bases de datos. Durante el primer semestre año 2017 se impartieron 18 cursos para formación de usuarios con una asistencia promedio de 60 usuarios. Para 2018, se espera impartir un mínimo de 20 cursos y contar con la asistencia promedio de 80 usuarios por año. </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Estrategia 1E</w:t>
      </w:r>
    </w:p>
    <w:p w:rsidR="00FC359F" w:rsidRPr="00FC359F" w:rsidRDefault="00FC359F" w:rsidP="00FC359F">
      <w:pPr>
        <w:spacing w:after="200" w:line="276" w:lineRule="auto"/>
        <w:jc w:val="both"/>
        <w:rPr>
          <w:rFonts w:ascii="Arial" w:eastAsia="Times New Roman" w:hAnsi="Arial" w:cs="Arial"/>
          <w:i/>
          <w:color w:val="auto"/>
          <w:sz w:val="24"/>
          <w:szCs w:val="24"/>
          <w:lang w:val="es-MX" w:eastAsia="es-MX"/>
        </w:rPr>
      </w:pPr>
      <w:r w:rsidRPr="00FC359F">
        <w:rPr>
          <w:rFonts w:ascii="Arial" w:eastAsia="Times New Roman" w:hAnsi="Arial" w:cs="Arial"/>
          <w:i/>
          <w:color w:val="auto"/>
          <w:sz w:val="24"/>
          <w:szCs w:val="24"/>
          <w:u w:val="single"/>
          <w:lang w:val="es-MX" w:eastAsia="es-MX"/>
        </w:rPr>
        <w:t>Fomento de grupos de investigación en áreas estratégicas emergentes</w:t>
      </w:r>
      <w:r w:rsidRPr="00FC359F">
        <w:rPr>
          <w:rFonts w:ascii="Arial" w:eastAsia="Times New Roman" w:hAnsi="Arial" w:cs="Arial"/>
          <w:i/>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1E1. Grupos de trabajo de especialidad temática. Fortalecer las Líneas Generadoras de Aplicación del Conocimiento (LGAC). En el año 2018 se continuará con el fortalecimiento de las LGAC vinculadas a los núcleos académicos básicos (NAB) de los programas de investigación y docencia. Para el año 2018 los cinco proyectos financiados por el Fideicomiso: “Fondo de Investigación Científico y Desarrollo Tecnológico” de El Colegio de San Luis reportarán los resultados finales y entregarán los productos comprometidos en su planteamiento original. Para continuar con esta estrategia de financiamiento de proyectos está en proceso de discusión la reorientación de sus estrategias de financiamiento y se espera la incorporación de por lo menos tres nuevos proyectos como producto de su tercera convocatoria.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1E2. Profesores visitantes y cátedras institucionales. Contar con la presencia de especialistas nacionales y del extranjero que colaboren en la </w:t>
      </w:r>
      <w:r w:rsidRPr="00FC359F">
        <w:rPr>
          <w:rFonts w:ascii="Arial" w:eastAsia="Times New Roman" w:hAnsi="Arial" w:cs="Arial"/>
          <w:color w:val="auto"/>
          <w:sz w:val="24"/>
          <w:szCs w:val="24"/>
          <w:lang w:val="es-MX" w:eastAsia="es-MX"/>
        </w:rPr>
        <w:lastRenderedPageBreak/>
        <w:t xml:space="preserve">discusión de las problemáticas que se abordan en la institución. En el año 2018 se estima contar con la participación de 5 profesores de alto nivel que ocuparán las cátedras institucionales. Un número similar de profesores investigadores se incorporarán bajo la figura de profesores visitantes.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1E3. Incorporación de estudiantes en el desarrollo de proyectos que atiendan problemas emergentes. Generar una masa crítica que aborde los problemas sociales y culturales de la región. En el año 2018 se continuará impulsando la integración de los estudiantes de posgrado a los proyectos de investigación de las diferentes LGAC a cargo de los profesores investigadores.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1E4. Publicación de resultados de proyectos colectivos de investigación. Difundir los resultados y proponer soluciones a los problemas y demandas regionales y nacionales. El programa editorial de El Colegio prevé en el año 2018 la publicación de 34 libros y 2 Revistas, todos en formato impreso y digital. </w:t>
      </w:r>
    </w:p>
    <w:p w:rsidR="00FC359F" w:rsidRPr="00FC359F" w:rsidRDefault="00FC359F" w:rsidP="00FC359F">
      <w:pPr>
        <w:spacing w:after="200" w:line="276" w:lineRule="auto"/>
        <w:jc w:val="both"/>
        <w:rPr>
          <w:rFonts w:ascii="Arial" w:eastAsia="Times New Roman" w:hAnsi="Arial" w:cs="Arial"/>
          <w:b/>
          <w:color w:val="auto"/>
          <w:sz w:val="24"/>
          <w:szCs w:val="24"/>
          <w:u w:val="single"/>
          <w:lang w:val="es-MX" w:eastAsia="es-MX"/>
        </w:rPr>
      </w:pPr>
      <w:r w:rsidRPr="00FC359F">
        <w:rPr>
          <w:rFonts w:ascii="Arial" w:eastAsia="Times New Roman" w:hAnsi="Arial" w:cs="Arial"/>
          <w:b/>
          <w:color w:val="auto"/>
          <w:sz w:val="24"/>
          <w:szCs w:val="24"/>
          <w:lang w:val="es-MX" w:eastAsia="es-MX"/>
        </w:rPr>
        <w:t>Estrategia 1F</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i/>
          <w:color w:val="auto"/>
          <w:sz w:val="24"/>
          <w:szCs w:val="24"/>
          <w:u w:val="single"/>
          <w:lang w:val="es-MX" w:eastAsia="es-MX"/>
        </w:rPr>
        <w:t>Fortalecimiento de las redes de vinculación con instituciones afines</w:t>
      </w:r>
      <w:r w:rsidRPr="00FC359F">
        <w:rPr>
          <w:rFonts w:ascii="Arial" w:eastAsia="Times New Roman" w:hAnsi="Arial" w:cs="Arial"/>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1F1. Convenios de colaboración académica nacional e internacional. Ampliar la realización de proyectos de colaboración institucional. En 2017, El Colegio participó en 80 convenios de colaboración académica nacional e internacional, de asignación de recursos para el desarrollo de proyectos de investigación y contratos de coedición. Se espera el año 2018 mantener este nivel de actividad y por lo menos suscribir 10 convenios más de colaboración académica nacional e internacional. La meta es darle mayor impulso a proyectos suscritos a los convenios </w:t>
      </w:r>
      <w:proofErr w:type="gramStart"/>
      <w:r w:rsidRPr="00FC359F">
        <w:rPr>
          <w:rFonts w:ascii="Arial" w:eastAsia="Times New Roman" w:hAnsi="Arial" w:cs="Arial"/>
          <w:color w:val="auto"/>
          <w:sz w:val="24"/>
          <w:szCs w:val="24"/>
          <w:lang w:val="es-MX" w:eastAsia="es-MX"/>
        </w:rPr>
        <w:t>marco establecidos</w:t>
      </w:r>
      <w:proofErr w:type="gramEnd"/>
      <w:r w:rsidRPr="00FC359F">
        <w:rPr>
          <w:rFonts w:ascii="Arial" w:eastAsia="Times New Roman" w:hAnsi="Arial" w:cs="Arial"/>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1F2. Convenios de intercambio académico e investigación. Fomentar el intercambio de profesores investigadores y estudiantes con instituciones nacionales y del extranjero. A partir de los convenios de colaboración institucional, en el año 2018 se espera continuar con el intercambio de profesores investigadores y estudiantes con instituciones nacionales y del extranjero.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1F3. Reuniones de discusión académica interinstitucionales. Realizar el análisis comparativo de problemáticas regionales y nacionales. En el primer semestre del año, los profesores-investigadores participaron en 192 eventos académicos como, ponentes, conferencistas y organizadores. En el ámbito nacional se participó en 125 reuniones de las cuales 82 fueron en El Colegio (incluye, seminarios permanentes, Coloquios de estudiantes y profesores, y Jornadas) y 24 internacionales en países como: Costa Rica, Ecuador, Colombia, </w:t>
      </w:r>
      <w:r w:rsidRPr="00FC359F">
        <w:rPr>
          <w:rFonts w:ascii="Arial" w:eastAsia="Times New Roman" w:hAnsi="Arial" w:cs="Arial"/>
          <w:color w:val="auto"/>
          <w:sz w:val="24"/>
          <w:szCs w:val="24"/>
          <w:lang w:val="es-MX" w:eastAsia="es-MX"/>
        </w:rPr>
        <w:lastRenderedPageBreak/>
        <w:t xml:space="preserve">España, Portugal, Perú.  Al cierre del año se espera mantener un promedio de 180 actividades, por lo que en el año 2018 se prevé mantener este promedio.  </w:t>
      </w:r>
    </w:p>
    <w:p w:rsidR="00FC359F" w:rsidRPr="00FC359F" w:rsidRDefault="00FC359F" w:rsidP="00FC359F">
      <w:pPr>
        <w:spacing w:after="200" w:line="276" w:lineRule="auto"/>
        <w:jc w:val="both"/>
        <w:rPr>
          <w:rFonts w:ascii="Arial" w:eastAsia="Times New Roman" w:hAnsi="Arial" w:cs="Arial"/>
          <w:b/>
          <w:color w:val="auto"/>
          <w:sz w:val="24"/>
          <w:szCs w:val="24"/>
          <w:u w:val="single"/>
          <w:lang w:val="es-MX" w:eastAsia="es-MX"/>
        </w:rPr>
      </w:pPr>
      <w:r w:rsidRPr="00FC359F">
        <w:rPr>
          <w:rFonts w:ascii="Arial" w:eastAsia="Times New Roman" w:hAnsi="Arial" w:cs="Arial"/>
          <w:b/>
          <w:color w:val="auto"/>
          <w:sz w:val="24"/>
          <w:szCs w:val="24"/>
          <w:lang w:val="es-MX" w:eastAsia="es-MX"/>
        </w:rPr>
        <w:t>Estrategia 1G</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i/>
          <w:color w:val="auto"/>
          <w:sz w:val="24"/>
          <w:szCs w:val="24"/>
          <w:u w:val="single"/>
          <w:lang w:val="es-MX" w:eastAsia="es-MX"/>
        </w:rPr>
        <w:t>Desarrollo y formación de recursos humanos de la institución</w:t>
      </w:r>
      <w:r w:rsidRPr="00FC359F">
        <w:rPr>
          <w:rFonts w:ascii="Arial" w:eastAsia="Times New Roman" w:hAnsi="Arial" w:cs="Arial"/>
          <w:i/>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1G1. Actualización de profesores investigadores. Propiciar la actualización permanente de la planta académica mediante la participación en cursos y seminarios. En el año 2017, cuatro (4) profesores investigadores continuaron su proceso de formación académica, se espera que en los próximos dos años, adquieran el grado correspondiente. Del total de la planta académica, 56 de ellos, participaran por lo menos en 92 seminarios y eventos especializados.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1G2. Capacitación de personal académico en el uso de nuevas tecnologías. Proporcionar a los profesores investigadores las herramientas tecnológicas y la preparación necesaria para su uso en el desarrollo de las investigaciones. La Unidad de Tecnologías de Información continuará con el proceso de capacitación de los profesores investigadores en el uso de nuevas aplicaciones informáticas.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1G3. Programa Anual de Capacitación. Impartir cursos de actualización en diversos temas al personal de las áreas de apoyo académico y de administración. El programa anual de capacitación 2018 establece como meta realizar 60 acciones de capacitación en las que participará personal de apoyo a las áreas académicas y personal operativo de la institución.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1G4. Cultura Organizacional. Impulsar el respeto a los derechos humanos e incorporar la perspectiva de género en el quehacer institucional. El Departamento de Recursos Humanos en colaboración con la Secretaría de la Función Pública, continuará en el año 2018 instrumentando programas específicos sobre los temas de cultura organizacional y derechos humanos; y con la participación del Instituto Nacional de las Mujeres, la impartición de cursos y estudios sobre perspectiva de género. En el segundo semestre del año 2017 iniciará su operación el Laboratorio de Investigación: Género, Interculturalidad y Derechos Humanos con la participación de profesores investigadores, personal de mandos medios y personal operativo, investigadores invitados de instituciones nacionales y del extranjero, becarios y </w:t>
      </w:r>
      <w:proofErr w:type="spellStart"/>
      <w:r w:rsidRPr="00FC359F">
        <w:rPr>
          <w:rFonts w:ascii="Arial" w:eastAsia="Times New Roman" w:hAnsi="Arial" w:cs="Arial"/>
          <w:color w:val="auto"/>
          <w:sz w:val="24"/>
          <w:szCs w:val="24"/>
          <w:lang w:val="es-MX" w:eastAsia="es-MX"/>
        </w:rPr>
        <w:t>posdoctorantes</w:t>
      </w:r>
      <w:proofErr w:type="spellEnd"/>
      <w:r w:rsidRPr="00FC359F">
        <w:rPr>
          <w:rFonts w:ascii="Arial" w:eastAsia="Times New Roman" w:hAnsi="Arial" w:cs="Arial"/>
          <w:color w:val="auto"/>
          <w:sz w:val="24"/>
          <w:szCs w:val="24"/>
          <w:lang w:val="es-MX" w:eastAsia="es-MX"/>
        </w:rPr>
        <w:t xml:space="preserve">. Se espera que al cierre de 2018 este laboratorio cuente con resultados significativos.   </w:t>
      </w:r>
    </w:p>
    <w:p w:rsidR="00FC359F" w:rsidRDefault="00FC359F" w:rsidP="00FC359F">
      <w:pPr>
        <w:spacing w:after="200" w:line="276" w:lineRule="auto"/>
        <w:jc w:val="both"/>
        <w:rPr>
          <w:rFonts w:ascii="Arial" w:eastAsia="Times New Roman" w:hAnsi="Arial" w:cs="Arial"/>
          <w:b/>
          <w:color w:val="auto"/>
          <w:sz w:val="24"/>
          <w:szCs w:val="24"/>
          <w:lang w:val="es-MX" w:eastAsia="es-MX"/>
        </w:rPr>
      </w:pP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lastRenderedPageBreak/>
        <w:t>Estrategia 1H</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i/>
          <w:color w:val="auto"/>
          <w:sz w:val="24"/>
          <w:szCs w:val="24"/>
          <w:u w:val="single"/>
          <w:lang w:val="es-MX" w:eastAsia="es-MX"/>
        </w:rPr>
        <w:t>Estancias de investigación nacionales y en el extranjero</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1H1. Programa institucional de movilidad. Apoyar a través del programa institucional de movilidad las estancias de investigación de los profesores investigadores y estudiantes en institucionales nacionales y del extranjero. En el año 2018 se continuará impulsando las estancias de investigación nacionales y en el extranjero de los profesores investigadores considerando el plan de trabajo anual.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1H2. Colaboración Académica. Impulsar el intercambio académico y de investigación, nacional e internacional para elevar la calidad de la investigación y de los programas docentes. En 2017, El Colegio participó en 80 convenios de colaboración académica y se espera que la cifra en el año 2018 alcance por lo menos 100 convenios de colaboración académica nacional e internacional para la conformación de grupos de investigación interinstitucionales.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1H3. Financiamiento externo. Impulsar la participación de los estudiantes en los programas de becas financiadas por instituciones nacionales y del extranjero. A través de la Unidad de Vinculación se informará a los estudiantes y apoyará la gestión de becas para movilidad En este sentido, será importante hacer solicitudes a otras instancias, como por ejemplo los Apoyos Especiales para la Investigación, el Desarrollo Tecnológico y la Innovación (IDTI) del COPOCYT, organismo que otorga estímulos para la movilidad de investigadores y alumnos al extranjero. A la fecha se ha hecho una solicitud para un estudiante de la MAPPP que está pendiente de resolución. </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Objetivo Estratégico 2</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b/>
          <w:color w:val="auto"/>
          <w:sz w:val="24"/>
          <w:szCs w:val="24"/>
          <w:lang w:val="es-MX" w:eastAsia="es-MX"/>
        </w:rPr>
        <w:t xml:space="preserve">Generación de Capital Humano de Alto Nivel. </w:t>
      </w:r>
      <w:r w:rsidRPr="00FC359F">
        <w:rPr>
          <w:rFonts w:ascii="Arial" w:eastAsia="Times New Roman" w:hAnsi="Arial" w:cs="Arial"/>
          <w:color w:val="auto"/>
          <w:sz w:val="24"/>
          <w:szCs w:val="24"/>
          <w:lang w:val="es-MX" w:eastAsia="es-MX"/>
        </w:rPr>
        <w:t xml:space="preserve">Formar personas capaces de aportar nuevos conocimiento y contribuir a los procesos de innovación académica en la región. </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Estrategia 2A</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i/>
          <w:color w:val="auto"/>
          <w:sz w:val="24"/>
          <w:szCs w:val="24"/>
          <w:u w:val="single"/>
          <w:lang w:val="es-MX" w:eastAsia="es-MX"/>
        </w:rPr>
        <w:t>Revisión estratégica del programa de licenciatura</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2A1. Evaluación del Programa de Licenciatura en Relaciones Internacionales (LRI). Evaluar a través de instancias internas y externas el desempeño de la Licenciatura en Relaciones Internacionales tomando en cuenta su trayectoria de los últimos 10 años y emitir las recomendaciones correspondientes. En al año 2017 los Comités Interinstitucionales para la </w:t>
      </w:r>
      <w:r w:rsidRPr="00FC359F">
        <w:rPr>
          <w:rFonts w:ascii="Arial" w:eastAsia="Times New Roman" w:hAnsi="Arial" w:cs="Arial"/>
          <w:color w:val="auto"/>
          <w:sz w:val="24"/>
          <w:szCs w:val="24"/>
          <w:lang w:val="es-MX" w:eastAsia="es-MX"/>
        </w:rPr>
        <w:lastRenderedPageBreak/>
        <w:t xml:space="preserve">Evaluación de la Educación Superior (CIEES) evaluarán el programa de licenciatura y en el año 2018 se iniciará la instrumentación de las recomendaciones que se determinen a fin de procurar la mejora sustancial de este programa.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2A2. Actualización del Programa Docente de LRI. Modificar el programa docente de acuerdo a las recomendaciones de las instancias evaluadoras. En el año 2018 se incorporarán las recomendaciones que se reciban de las instancias evaluadoras.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2A3. Reposicionamiento de la LRI. Ampliación de la oferta educativa y promoción de los egresados en los sectores público y privado. Derivado del análisis y observaciones realizadas por ACCECISO en el año 2009 se destaca el carácter estratégico del Estado y el dinamismo de su economía por lo que en materia de formación de capital humano, la licenciatura se debe orientar al mercado laboral. Por esta razón durante el año 2018, se continuará con los trabajos que permitan el seguimiento, ubicación y vinculación de egresados con los sectores social, gubernamental y productivo de la región. Se incorporará a la estrategia los resultados de la evaluación que realice el CIEES.  </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Estrategia 2B</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i/>
          <w:color w:val="auto"/>
          <w:sz w:val="24"/>
          <w:szCs w:val="24"/>
          <w:u w:val="single"/>
          <w:lang w:val="es-MX" w:eastAsia="es-MX"/>
        </w:rPr>
        <w:t>Planes y programas de estudio</w:t>
      </w:r>
      <w:r w:rsidRPr="00FC359F">
        <w:rPr>
          <w:rFonts w:ascii="Arial" w:eastAsia="Times New Roman" w:hAnsi="Arial" w:cs="Arial"/>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2B1. Actualización de los Planes y Programas de Estudio. Garantizar que los planes y programas de estudio sean pertinentes y contribuyan a que los estudiantes puedan avanzar exitosamente en su trayectoria educativa. En el año 2018, se continuará con la revisión y actualización de los planes y programas de estudio de los programas docentes que concluyen generación en este año.</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2B2. Evaluación </w:t>
      </w:r>
      <w:proofErr w:type="gramStart"/>
      <w:r w:rsidRPr="00FC359F">
        <w:rPr>
          <w:rFonts w:ascii="Arial" w:eastAsia="Times New Roman" w:hAnsi="Arial" w:cs="Arial"/>
          <w:color w:val="auto"/>
          <w:sz w:val="24"/>
          <w:szCs w:val="24"/>
          <w:lang w:val="es-MX" w:eastAsia="es-MX"/>
        </w:rPr>
        <w:t>continua</w:t>
      </w:r>
      <w:proofErr w:type="gramEnd"/>
      <w:r w:rsidRPr="00FC359F">
        <w:rPr>
          <w:rFonts w:ascii="Arial" w:eastAsia="Times New Roman" w:hAnsi="Arial" w:cs="Arial"/>
          <w:color w:val="auto"/>
          <w:sz w:val="24"/>
          <w:szCs w:val="24"/>
          <w:lang w:val="es-MX" w:eastAsia="es-MX"/>
        </w:rPr>
        <w:t xml:space="preserve"> de los planes y programas de Estudio. Avalar la calidad de los planes y programas de estudio para su certificación. En el año 2018, se implementarán las recomendaciones al proceso de evaluación del programa del Doctorado en Literatura Hispánica, la Maestría en Asuntos Políticos y Políticas Publicas en el PNPC-CONACYT. Se continuará el proceso de evaluación de la licenciatura por el CIEES y de los programas de posgrado se buscará la mantener la acreditación de los programas que se encuentran certificados y confirmar la postulación del Doctorado en Historia que se encuentra en el Nivel “de Reciente Creación” por lo que se realizan los trabajos para atender las recomendaciones del PNPC-CONACYT para que el programa avance al Nivel “en Desarrollo” en el 2018. La Maestría en Literatura Hispanoamericana que se encuentra “En Desarrollo”, también será evaluado. La Maestría en Historia que será evaluada en el año 2018 con el nivel actual de “Consolidado”. También será evaluado el Doctorado en </w:t>
      </w:r>
      <w:r w:rsidRPr="00FC359F">
        <w:rPr>
          <w:rFonts w:ascii="Arial" w:eastAsia="Times New Roman" w:hAnsi="Arial" w:cs="Arial"/>
          <w:color w:val="auto"/>
          <w:sz w:val="24"/>
          <w:szCs w:val="24"/>
          <w:lang w:val="es-MX" w:eastAsia="es-MX"/>
        </w:rPr>
        <w:lastRenderedPageBreak/>
        <w:t xml:space="preserve">Ciencias Sociales, que buscará el nivel “Consolidado”. En al año 2018, se postulará al Doctorado en Estudios Antropológicos para su ingreso al PNPC-CONACYT.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2B3. Eficiencia Terminal. Alcanzar una eficiencia terminal del 80% por cohorte generacional. Durante el año 2018 se mantendrá una eficiencia terminal de por lo menos el 80% por cohorte generacional.</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2B4. Generación de nuevos conocimientos. Orientar las tesis de los estudiantes a la solución de problemas estratégicos regionales y nacionales. En el transcurso de 2017 se han titulado 16 en Maestría y 3 en los doctorados. Se espera que al finalizar el año, contemos con 31 titulaciones de estos posgrados.</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Estrategia 2C</w:t>
      </w:r>
    </w:p>
    <w:p w:rsidR="00FC359F" w:rsidRPr="00FC359F" w:rsidRDefault="00FC359F" w:rsidP="00FC359F">
      <w:pPr>
        <w:spacing w:after="200" w:line="276" w:lineRule="auto"/>
        <w:jc w:val="both"/>
        <w:rPr>
          <w:rFonts w:ascii="Arial" w:eastAsia="Times New Roman" w:hAnsi="Arial" w:cs="Arial"/>
          <w:i/>
          <w:color w:val="auto"/>
          <w:sz w:val="24"/>
          <w:szCs w:val="24"/>
          <w:lang w:val="es-MX" w:eastAsia="es-MX"/>
        </w:rPr>
      </w:pPr>
      <w:r w:rsidRPr="00FC359F">
        <w:rPr>
          <w:rFonts w:ascii="Arial" w:eastAsia="Times New Roman" w:hAnsi="Arial" w:cs="Arial"/>
          <w:i/>
          <w:color w:val="auto"/>
          <w:sz w:val="24"/>
          <w:szCs w:val="24"/>
          <w:u w:val="single"/>
          <w:lang w:val="es-MX" w:eastAsia="es-MX"/>
        </w:rPr>
        <w:t>Consolidación de los programas de posgrado</w:t>
      </w:r>
      <w:r w:rsidRPr="00FC359F">
        <w:rPr>
          <w:rFonts w:ascii="Arial" w:eastAsia="Times New Roman" w:hAnsi="Arial" w:cs="Arial"/>
          <w:i/>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2C1. Maestría en Asuntos Políticos y Políticas Públicas. Este programa fue evaluado en el año 2014, y su evaluación refrendo el nivel “en desarrollo” por lo que a partir del año 2016 se trabaja en la atención de las recomendaciones del PNPC-CONACYT para que el programa alcance el nivel de “Consolidado” en el 2017. Este programa se encuentra actualmente en proceso de evaluación por el PNPC.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2C2. Maestría en Literatura Hispanoamericana. Este programa fue evaluado en el año 2014, y su evaluación lo ubicó en el nivel “en Desarrollo” por lo que a partir del año 2016 se trabaja en la atención de las recomendaciones del PNPC-CONACYT para que el programa alcance el nivel de “Consolidado” en el 2018.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2C3. Maestría en Gestión Sustentable del Agua. En el año 2015 este programa de maestría fue evaluado por el PNPC-CONACYT y su evaluación lo ubicó en el nivel “Consolidado” por lo que a partir de 2016 se trabaja en la atención de las recomendaciones del PNPC_CONACYT para que el programa alcance el nivel “de Competencia Internacional” en el año 2019. Aun cuando el objetivo sería alcanzar ese nivel, la estrategia apunta a mantener el programa en el nivel “Consolidado”.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2C4. Doctorado en Ciencias Sociales. Llevar este programa a nivel “Consolidado” del PNPC-CONACYT. Este programa fue evaluado en el año 2014, y su evaluación paso lo ubicó en el nivel “en Desarrollo” por lo que a partir del año 2016 se trabaja en la atención de las recomendaciones del PNPC-CONACYT para que el programa avance al nivel de “Consolidado” en el 2018.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lastRenderedPageBreak/>
        <w:t xml:space="preserve">Proyecto 2C5. Doctorado en Literatura Hispánica. Este programa es de “Reciente Creación”, la evaluación por el PNPC-CONACYT se realizará en 2017. A partir del año 2016 se continuaron los trabajos para que el programa alcance el nivel “En Desarrollo” en su proceso de evaluación que se realiza durante el presente año.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Respecto al Doctorado en Historia, es importante recordar que este se encuentra en el Nivel “de Reciente Creación” por lo que se realizan los trabajos para atender las recomendaciones del PNPC-CONACYT para que el programa avance al Nivel “en Desarrollo” en el 2018.</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La Maestría en Historia que será evaluada en el año 2018 con el nivel actual de “Consolidado” aspira en el año 2018 a alcanzar el nivel “Internacional”.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En al año 2018, se espera postular al Doctorado en Antropología para su ingreso al PNPC-CONACYT. </w:t>
      </w:r>
    </w:p>
    <w:p w:rsidR="00FC359F" w:rsidRPr="00FC359F" w:rsidRDefault="00FC359F" w:rsidP="00FC359F">
      <w:pPr>
        <w:spacing w:after="200" w:line="276" w:lineRule="auto"/>
        <w:jc w:val="both"/>
        <w:rPr>
          <w:rFonts w:ascii="Arial" w:eastAsia="Times New Roman" w:hAnsi="Arial" w:cs="Arial"/>
          <w:b/>
          <w:i/>
          <w:color w:val="auto"/>
          <w:sz w:val="24"/>
          <w:szCs w:val="24"/>
          <w:lang w:val="es-MX" w:eastAsia="es-MX"/>
        </w:rPr>
      </w:pPr>
      <w:r w:rsidRPr="00FC359F">
        <w:rPr>
          <w:rFonts w:ascii="Arial" w:eastAsia="Times New Roman" w:hAnsi="Arial" w:cs="Arial"/>
          <w:color w:val="auto"/>
          <w:sz w:val="24"/>
          <w:szCs w:val="24"/>
          <w:lang w:val="es-MX" w:eastAsia="es-MX"/>
        </w:rPr>
        <w:t xml:space="preserve"> </w:t>
      </w:r>
      <w:r w:rsidRPr="00FC359F">
        <w:rPr>
          <w:rFonts w:ascii="Arial" w:eastAsia="Times New Roman" w:hAnsi="Arial" w:cs="Arial"/>
          <w:b/>
          <w:i/>
          <w:color w:val="auto"/>
          <w:sz w:val="24"/>
          <w:szCs w:val="24"/>
          <w:lang w:val="es-MX" w:eastAsia="es-MX"/>
        </w:rPr>
        <w:t>Estrategia 2D</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u w:val="single"/>
          <w:lang w:val="es-MX" w:eastAsia="es-MX"/>
        </w:rPr>
        <w:t>Internacionalización de los programas de posgrado</w:t>
      </w:r>
      <w:r w:rsidRPr="00FC359F">
        <w:rPr>
          <w:rFonts w:ascii="Arial" w:eastAsia="Times New Roman" w:hAnsi="Arial" w:cs="Arial"/>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2D1. Maestría en Antropología Social. Acreditar el nivel internacional del PNPC-CONACYT. La maestría en Antropología Social fue evaluada en el año 2016 por el PNPC-CONACYT. Por esta razón en el año 2018, se continuarán los trabajos para que en el año 2021, el programa alcance la acreditación a nivel “Competencia Internacional”.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2D2. Maestría en Historia. Acreditar el nivel internacional del PNPC-CONACYT.</w:t>
      </w:r>
      <w:r w:rsidRPr="00FC359F">
        <w:rPr>
          <w:rFonts w:ascii="Arial" w:eastAsia="Times New Roman" w:hAnsi="Arial" w:cs="Arial"/>
          <w:color w:val="FF0000"/>
          <w:sz w:val="24"/>
          <w:szCs w:val="24"/>
          <w:lang w:val="es-MX" w:eastAsia="es-MX"/>
        </w:rPr>
        <w:t xml:space="preserve"> </w:t>
      </w:r>
      <w:r w:rsidRPr="00FC359F">
        <w:rPr>
          <w:rFonts w:ascii="Arial" w:eastAsia="Times New Roman" w:hAnsi="Arial" w:cs="Arial"/>
          <w:color w:val="auto"/>
          <w:sz w:val="24"/>
          <w:szCs w:val="24"/>
          <w:lang w:val="es-MX" w:eastAsia="es-MX"/>
        </w:rPr>
        <w:t xml:space="preserve">Este programa fue evaluado en el año 2015 y refrendó su condición en el nivel “Consolidado”. En el año 2018 continuarán los trabajos sobre las recomendaciones del PNPC-CONACYT para que el programa alcance en el año 2018, la acreditación a nivel “Competencia Internacional”. </w:t>
      </w:r>
    </w:p>
    <w:p w:rsidR="00FC359F" w:rsidRPr="00FC359F" w:rsidRDefault="00FC359F" w:rsidP="00FC359F">
      <w:pPr>
        <w:spacing w:after="200" w:line="276" w:lineRule="auto"/>
        <w:jc w:val="both"/>
        <w:rPr>
          <w:rFonts w:ascii="Arial" w:eastAsia="Times New Roman" w:hAnsi="Arial" w:cs="Arial"/>
          <w:b/>
          <w:color w:val="auto"/>
          <w:sz w:val="24"/>
          <w:szCs w:val="24"/>
          <w:u w:val="single"/>
          <w:lang w:val="es-MX" w:eastAsia="es-MX"/>
        </w:rPr>
      </w:pPr>
      <w:r w:rsidRPr="00FC359F">
        <w:rPr>
          <w:rFonts w:ascii="Arial" w:eastAsia="Times New Roman" w:hAnsi="Arial" w:cs="Arial"/>
          <w:b/>
          <w:color w:val="auto"/>
          <w:sz w:val="24"/>
          <w:szCs w:val="24"/>
          <w:lang w:val="es-MX" w:eastAsia="es-MX"/>
        </w:rPr>
        <w:t>Estrategia 2E</w:t>
      </w:r>
    </w:p>
    <w:p w:rsidR="00FC359F" w:rsidRPr="00FC359F" w:rsidRDefault="00FC359F" w:rsidP="00FC359F">
      <w:pPr>
        <w:spacing w:after="200" w:line="276" w:lineRule="auto"/>
        <w:jc w:val="both"/>
        <w:rPr>
          <w:rFonts w:ascii="Arial" w:eastAsia="Times New Roman" w:hAnsi="Arial" w:cs="Arial"/>
          <w:i/>
          <w:color w:val="auto"/>
          <w:sz w:val="24"/>
          <w:szCs w:val="24"/>
          <w:lang w:val="es-MX" w:eastAsia="es-MX"/>
        </w:rPr>
      </w:pPr>
      <w:r w:rsidRPr="00FC359F">
        <w:rPr>
          <w:rFonts w:ascii="Arial" w:eastAsia="Times New Roman" w:hAnsi="Arial" w:cs="Arial"/>
          <w:i/>
          <w:color w:val="auto"/>
          <w:sz w:val="24"/>
          <w:szCs w:val="24"/>
          <w:u w:val="single"/>
          <w:lang w:val="es-MX" w:eastAsia="es-MX"/>
        </w:rPr>
        <w:t>Ampliación de la oferta de doctorado</w:t>
      </w:r>
      <w:r w:rsidRPr="00FC359F">
        <w:rPr>
          <w:rFonts w:ascii="Arial" w:eastAsia="Times New Roman" w:hAnsi="Arial" w:cs="Arial"/>
          <w:i/>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2E1. Doctorado en Antropología. Ampliar la oferta educativa en la región mediante la creación del Doctorado en Antropología. En el año 2018 se prevé la apertura del Doctorado en Antropología con el objetivo de ampliar la oferta educativa en la región y su acreditación en el PNPC.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2E2. Doctorado en Historia. A partir del ciclo escolar 2014 se creó el Doctorado en Historia. Este programa fue acreditado por el PNPC-CONACYT en el </w:t>
      </w:r>
      <w:r w:rsidRPr="00FC359F">
        <w:rPr>
          <w:rFonts w:ascii="Arial" w:eastAsia="Times New Roman" w:hAnsi="Arial" w:cs="Arial"/>
          <w:color w:val="auto"/>
          <w:sz w:val="24"/>
          <w:szCs w:val="24"/>
          <w:lang w:val="es-MX" w:eastAsia="es-MX"/>
        </w:rPr>
        <w:lastRenderedPageBreak/>
        <w:t>nivel de “Reciente Creación”, durante el año 2018 continuará su proceso de consolidación institucional.</w:t>
      </w:r>
    </w:p>
    <w:p w:rsidR="00FC359F" w:rsidRPr="00FC359F" w:rsidRDefault="00FC359F" w:rsidP="00FC359F">
      <w:pPr>
        <w:spacing w:after="200" w:line="276" w:lineRule="auto"/>
        <w:jc w:val="both"/>
        <w:rPr>
          <w:rFonts w:ascii="Arial" w:eastAsia="Times New Roman" w:hAnsi="Arial" w:cs="Arial"/>
          <w:b/>
          <w:color w:val="auto"/>
          <w:sz w:val="24"/>
          <w:szCs w:val="24"/>
          <w:u w:val="single"/>
          <w:lang w:val="es-MX" w:eastAsia="es-MX"/>
        </w:rPr>
      </w:pPr>
      <w:r w:rsidRPr="00FC359F">
        <w:rPr>
          <w:rFonts w:ascii="Arial" w:eastAsia="Times New Roman" w:hAnsi="Arial" w:cs="Arial"/>
          <w:b/>
          <w:color w:val="auto"/>
          <w:sz w:val="24"/>
          <w:szCs w:val="24"/>
          <w:lang w:val="es-MX" w:eastAsia="es-MX"/>
        </w:rPr>
        <w:t xml:space="preserve">Estrategia 2F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i/>
          <w:color w:val="auto"/>
          <w:sz w:val="24"/>
          <w:szCs w:val="24"/>
          <w:u w:val="single"/>
          <w:lang w:val="es-MX" w:eastAsia="es-MX"/>
        </w:rPr>
        <w:t>Colaboración académica interinstitucional</w:t>
      </w:r>
      <w:r w:rsidRPr="00FC359F">
        <w:rPr>
          <w:rFonts w:ascii="Arial" w:eastAsia="Times New Roman" w:hAnsi="Arial" w:cs="Arial"/>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2F1. Convenios específicos de colaboración académica. Realizar convenios específicos para el desarrollo de proyectos de investigación, intercambio de estudiantes y profesores y la edición de publicaciones. En 2017, El Colegio participó en 80 convenios de colaboración académica y se espera que la cifra en el año 2018 alcance 90 convenios de colaboración académica nacional e internacional que permitirán el desarrollo de proyectos de investigación e intercambio de estudiantes, profesores y publicaciones.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2F2. Redes Académicas. Fomentar la vinculación de los estudiantes con los mejores especialistas en su área de especialización.</w:t>
      </w:r>
      <w:r w:rsidRPr="00FC359F">
        <w:rPr>
          <w:rFonts w:ascii="Arial" w:eastAsia="Times New Roman" w:hAnsi="Arial" w:cs="Arial"/>
          <w:b/>
          <w:color w:val="auto"/>
          <w:sz w:val="24"/>
          <w:szCs w:val="24"/>
          <w:lang w:val="es-MX" w:eastAsia="es-MX"/>
        </w:rPr>
        <w:t xml:space="preserve"> </w:t>
      </w:r>
      <w:r w:rsidRPr="00FC359F">
        <w:rPr>
          <w:rFonts w:ascii="Arial" w:eastAsia="Times New Roman" w:hAnsi="Arial" w:cs="Arial"/>
          <w:color w:val="auto"/>
          <w:sz w:val="24"/>
          <w:szCs w:val="24"/>
          <w:lang w:val="es-MX" w:eastAsia="es-MX"/>
        </w:rPr>
        <w:t>En el año 2018 se continuará promoviendo la incorporación de los estudiantes en los grupos de investigación y redes académicas de los profesores investigadores de las distintas LGAC.</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 xml:space="preserve">Estrategia 2G </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i/>
          <w:color w:val="auto"/>
          <w:sz w:val="24"/>
          <w:szCs w:val="24"/>
          <w:u w:val="single"/>
          <w:lang w:val="es-MX" w:eastAsia="es-MX"/>
        </w:rPr>
        <w:t>Fortalecimiento del programa de becas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2G1. Programa institucional de becas. Fomentar la formación de recursos humanos de alto nivel asociados a las necesidades del desarrollo nacional y regional. El Programa Institucional de Becas continuará operando durante el año 2018. Mediante este programa se espera atender a 38 estudiantes de licenciatura y 100 de posgrado en promedio que realizan actividades vinculadas a los profesores investigadores de El Colegio.   </w:t>
      </w:r>
    </w:p>
    <w:p w:rsidR="00FC359F" w:rsidRPr="00FC359F" w:rsidRDefault="00FC359F" w:rsidP="00FC359F">
      <w:pPr>
        <w:spacing w:after="200" w:line="276" w:lineRule="auto"/>
        <w:jc w:val="both"/>
        <w:rPr>
          <w:rFonts w:ascii="Arial" w:eastAsia="Times New Roman" w:hAnsi="Arial" w:cs="Arial"/>
          <w:i/>
          <w:color w:val="auto"/>
          <w:sz w:val="24"/>
          <w:szCs w:val="24"/>
          <w:lang w:val="es-MX" w:eastAsia="es-MX"/>
        </w:rPr>
      </w:pPr>
      <w:r w:rsidRPr="00FC359F">
        <w:rPr>
          <w:rFonts w:ascii="Arial" w:eastAsia="Times New Roman" w:hAnsi="Arial" w:cs="Arial"/>
          <w:color w:val="auto"/>
          <w:sz w:val="24"/>
          <w:szCs w:val="24"/>
          <w:lang w:val="es-MX" w:eastAsia="es-MX"/>
        </w:rPr>
        <w:t xml:space="preserve">Proyecto 2G2. Jóvenes investigadores. Apoyar la participación de investigadores jóvenes en el desarrollo de proyectos científicos. Como parte de este programa y con el apoyo del Consejo Nacional de Ciencia y Tecnología, en el año 2017 se contó con la participación de 4 nuevos investigadores a través del Programa de Cátedras CONACYT y se recibieron 3 estancias posdoctorales. Mediante esta estrategia se ha buscado resolver el problema relacionado con la autorización de nuevas plazas, lo que ha permitido continuar con el fortalecimiento de la planta académica.  Se participará en las convocatorias para integrar más profesores investigadores, que se incorporen a la institución bajo la modalidad de Cátedra CONACYT así como la incorporación de otros </w:t>
      </w:r>
      <w:proofErr w:type="spellStart"/>
      <w:r w:rsidRPr="00FC359F">
        <w:rPr>
          <w:rFonts w:ascii="Arial" w:eastAsia="Times New Roman" w:hAnsi="Arial" w:cs="Arial"/>
          <w:color w:val="auto"/>
          <w:sz w:val="24"/>
          <w:szCs w:val="24"/>
          <w:lang w:val="es-MX" w:eastAsia="es-MX"/>
        </w:rPr>
        <w:t>posdoctorantes</w:t>
      </w:r>
      <w:proofErr w:type="spellEnd"/>
      <w:r w:rsidRPr="00FC359F">
        <w:rPr>
          <w:rFonts w:ascii="Arial" w:eastAsia="Times New Roman" w:hAnsi="Arial" w:cs="Arial"/>
          <w:color w:val="auto"/>
          <w:sz w:val="24"/>
          <w:szCs w:val="24"/>
          <w:lang w:val="es-MX" w:eastAsia="es-MX"/>
        </w:rPr>
        <w:t xml:space="preserve"> en el año 2018</w:t>
      </w:r>
      <w:r w:rsidRPr="00FC359F">
        <w:rPr>
          <w:rFonts w:ascii="Arial" w:eastAsia="Times New Roman" w:hAnsi="Arial" w:cs="Arial"/>
          <w:i/>
          <w:color w:val="auto"/>
          <w:sz w:val="24"/>
          <w:szCs w:val="24"/>
          <w:lang w:val="es-MX" w:eastAsia="es-MX"/>
        </w:rPr>
        <w:t xml:space="preserve">. </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lastRenderedPageBreak/>
        <w:t>Estrategia 2H</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i/>
          <w:color w:val="auto"/>
          <w:sz w:val="24"/>
          <w:szCs w:val="24"/>
          <w:u w:val="single"/>
          <w:lang w:val="es-MX" w:eastAsia="es-MX"/>
        </w:rPr>
        <w:t>Movilidad de estudiantes en el marco de los programas docentes.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2H1. Intercambio de estudiantes. Promover la participación de los estudiantes en el intercambio de experiencias docentes y de investigación con otras instituciones nacionales y del extranjero. En el año 2018 se continuará con el impulso de los convenios de colaboración académica institucional que permita el intercambio de estudiantes, tanto en institucionales nacionales como del extranjero.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2H2. Experiencia internacional. Incentivar la participación de los estudiantes en foros y organismos internacionales. En 2018 se espera continuar fomentando la participación de los estudiantes para la presentación de avances y resultados de investigación en foros internacionales.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2H3. Planes de estudio. Incorporar la movilidad de los estudiantes a los programas de estudio como parte de su formación académica. En 2018, se apoyará en la movilidad de los estudiantes que esté contemplada en los planes y programas de estudio.</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2H4. Formación de calidad. Aprovechar la movilidad de los estudiantes para fomentar la calidad de su formación y su incorporación y reconocimiento en el mercado laboral. En 2018 se continuará con el rigor y exigencia académica a los estudiantes a fin de garantizar las competencias como egresados para consolidar su ubicación en el mercado laboral. </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 xml:space="preserve">Estrategia 2-I </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i/>
          <w:color w:val="auto"/>
          <w:sz w:val="24"/>
          <w:szCs w:val="24"/>
          <w:u w:val="single"/>
          <w:lang w:val="es-MX" w:eastAsia="es-MX"/>
        </w:rPr>
        <w:t>Procesos continuos de investigación educativa</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2-I1. Innovación para el posgrado. Impulsar la incorporación de estudiantes de licenciatura de las IES a los proyectos de investigación institucionales para propiciar su incorporación al posgrado con tesis orientadas al estudio de los problemas estratégicos de la región y/o del país.  En 2018, se incorporarán a los planes de estudio nuevas metodologías de investigación para abordar los problemas sociales y culturales y facilitar la integración de estudiantes al posgrado a partir de nuevos proyectos de importancia estratégica.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2-I2. Innovación para el desarrollo de las capacidades científicas. Impulsar la movilidad de los estudiantes del posgrado como un factor para el desarrollo de la investigación en ciencias sociales y humanidades que se requiere para una inserción eficiente en la sociedad del conocimiento. En 2018, propiciar la movilidad de estudiantes de posgrado para que adquieran una visión más amplia sobre </w:t>
      </w:r>
      <w:r w:rsidRPr="00FC359F">
        <w:rPr>
          <w:rFonts w:ascii="Arial" w:eastAsia="Times New Roman" w:hAnsi="Arial" w:cs="Arial"/>
          <w:color w:val="auto"/>
          <w:sz w:val="24"/>
          <w:szCs w:val="24"/>
          <w:lang w:val="es-MX" w:eastAsia="es-MX"/>
        </w:rPr>
        <w:lastRenderedPageBreak/>
        <w:t xml:space="preserve">nuevos conocimientos y metodologías en ciencias sociales y humanidades, como una forma de inserción en la sociedad del conocimiento.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b/>
          <w:color w:val="auto"/>
          <w:sz w:val="24"/>
          <w:szCs w:val="24"/>
          <w:lang w:val="es-MX" w:eastAsia="es-MX"/>
        </w:rPr>
        <w:t>Objetivo Estratégico 3</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b/>
          <w:color w:val="auto"/>
          <w:sz w:val="24"/>
          <w:szCs w:val="24"/>
          <w:lang w:val="es-MX" w:eastAsia="es-MX"/>
        </w:rPr>
        <w:t xml:space="preserve">Desarrollo de Proyectos de Investigación de Impacto Regional. </w:t>
      </w:r>
      <w:r w:rsidRPr="00FC359F">
        <w:rPr>
          <w:rFonts w:ascii="Arial" w:eastAsia="Times New Roman" w:hAnsi="Arial" w:cs="Arial"/>
          <w:color w:val="auto"/>
          <w:sz w:val="24"/>
          <w:szCs w:val="24"/>
          <w:lang w:val="es-MX" w:eastAsia="es-MX"/>
        </w:rPr>
        <w:t>Desarrollar proyectos de investigación científica en áreas y temas de interés nacional de alto impacto en la región y en el país.</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 xml:space="preserve">Estrategia 3A </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i/>
          <w:color w:val="auto"/>
          <w:sz w:val="24"/>
          <w:szCs w:val="24"/>
          <w:u w:val="single"/>
          <w:lang w:val="es-MX" w:eastAsia="es-MX"/>
        </w:rPr>
        <w:t>Diagnóstico regional integral</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3A1. Desarrollar proyectos de investigación que identifiquen las fortalezas y debilidades de la región para contribuir a la atención de problemas sociales y culturales. En el 2017 se realizaron 77 proyectos de investigación relacionados con temas de impacto regional que permiten ir perfilando un diagnóstico regional. Se abordaron temas relacionados con migración y repatriación de mexicanos, minería, alimentación, manejo del agua, estudios de género y violencia sexual, universo y configuración de las comunidades indígenas en San Luis Potosí, diversidad cultural y derecho indígena, entre otros. Para el año 2018, se continuará trabajando en diversos proyectos que se encuentran en proceso, se abordarán temas sobre Migración, Minería y Sustentabilidad, Agua y Recursos Naturales, Diversidad Cultural y Derecho Indígena, Estudios de Género, Ciudades y Desarrollo Humano, Combate a la Pobreza y Soberanía Alimentaria, Patrimonio Cultural y Gobernabilidad, Historia Económica, Historia Social y Cultural, Estudios Políticos y Sociales y Estudios Literarios.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3A2. Diagnóstico regional integral. Determinar con base a los resultados de proyectos de investigación el panorama actual de la región.  Durante 2017, los resultados de la investigación que se realiza en El Colegio permitieron conocer los problemas de la región y aportar posibles soluciones a las problemáticas determinadas. En 2018 se continuarán desarrollando investigaciones con este enfoque.</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Estrategia 3B</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i/>
          <w:color w:val="auto"/>
          <w:sz w:val="24"/>
          <w:szCs w:val="24"/>
          <w:u w:val="single"/>
          <w:lang w:val="es-MX" w:eastAsia="es-MX"/>
        </w:rPr>
        <w:t>Proyectos estratégicos de investigación</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3B1. Investigaciones de impacto. Elaborar proyectos de investigación que contribuyan a la solución de las demandas regionales. La totalidad de los proyectos de investigación que se desarrollan en El Colegio son de impacto regional. Para 2018 se continuarán desarrollando por lo menos 80 proyectos en temáticas como </w:t>
      </w:r>
      <w:r w:rsidRPr="00FC359F">
        <w:rPr>
          <w:rFonts w:ascii="Arial" w:eastAsia="Times New Roman" w:hAnsi="Arial" w:cs="Arial"/>
          <w:color w:val="auto"/>
          <w:sz w:val="24"/>
          <w:szCs w:val="24"/>
          <w:lang w:val="es-MX" w:eastAsia="es-MX"/>
        </w:rPr>
        <w:lastRenderedPageBreak/>
        <w:t>ciudades y desarrollo urbano, combate a la pobreza y seguridad alimentaria, estudios de cultura humana, gestión del agua, migraciones y asentamientos humanos, política ambiental, seguridad ciudadana, política pública de salud, política ambiental, entre otros.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3B2. Cultura y Población. Vincular proyectos y acciones que permitan el rescate de áreas de interés social y cultural a nivel local, municipal, estatal y regional. En 2017 se desarrollan 22 proyectos relacionados con esta temática. Se prevé que en el año 2018 estos proyectos continúen su desarrollo.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3B3. Desarrollo Regional. Impulsar la planeación integral de la región considerando el ordenamiento ecológico y el ordenamiento territorial para lograr un desarrollo regional y urbano sustentable. En el año 2017 se desarrollaron 16</w:t>
      </w:r>
      <w:r w:rsidRPr="00FC359F">
        <w:rPr>
          <w:rFonts w:ascii="Arial" w:eastAsia="Times New Roman" w:hAnsi="Arial" w:cs="Arial"/>
          <w:color w:val="FF0000"/>
          <w:sz w:val="24"/>
          <w:szCs w:val="24"/>
          <w:lang w:val="es-MX" w:eastAsia="es-MX"/>
        </w:rPr>
        <w:t xml:space="preserve"> </w:t>
      </w:r>
      <w:r w:rsidRPr="00FC359F">
        <w:rPr>
          <w:rFonts w:ascii="Arial" w:eastAsia="Times New Roman" w:hAnsi="Arial" w:cs="Arial"/>
          <w:color w:val="auto"/>
          <w:sz w:val="24"/>
          <w:szCs w:val="24"/>
          <w:lang w:val="es-MX" w:eastAsia="es-MX"/>
        </w:rPr>
        <w:t xml:space="preserve">proyectos relacionados con esta temática. Se prevé que en el año 2018 estos proyectos continúen su desarrollo.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3B4. Sustentabilidad. Colaborar con las organizaciones de la sociedad civil en materia de ordenamiento ecológico, desarrollo económico y aprovechamiento sustentable de los recursos naturales. En el año 2017 se desarrollaron 13 proyectos relacionados con esta temática. Se prevé que en el año 2018 estos proyectos continúen su desarrollo.   </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 xml:space="preserve">Estrategia 3C </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i/>
          <w:color w:val="auto"/>
          <w:sz w:val="24"/>
          <w:szCs w:val="24"/>
          <w:u w:val="single"/>
          <w:lang w:val="es-MX" w:eastAsia="es-MX"/>
        </w:rPr>
        <w:t>Promoción de investigaciones que favorezcan el tránsito a una sociedad equitativa e incluyente.</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3C1. Grupos Vulnerables. Desarrollar proyectos de investigación que generen nuevos conocimientos para favorecer una sociedad más equitativa e incluyente. El Programa Agua y Sociedad continuará en 2018 el proceso de formación de investigadores comunitarios en el uso eficiente del agua y de los recursos hídricos y los profesores investigadores del Programa de Estudios Antropológicos continuarán con el desarrollo de 8 proyectos relacionados con temas de combate a la pobreza y seguridad alimentaria.</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3C2. Derechos Humanos. Llevar a cabo proyectos de investigación que contribuyan a la promoción y defensa de los derechos humanos. En el año 2017 se desarrollaron 4 proyectos relacionados con esta temática. Se prevé que en el año 2018 estos proyectos continúen su desarrollo.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3C3. Identidad y Cultura. Elaborar proyectos de investigación que permitan reconocer la autodefinición y valorar, promover y difundir las culturas </w:t>
      </w:r>
      <w:r w:rsidRPr="00FC359F">
        <w:rPr>
          <w:rFonts w:ascii="Arial" w:eastAsia="Times New Roman" w:hAnsi="Arial" w:cs="Arial"/>
          <w:color w:val="auto"/>
          <w:sz w:val="24"/>
          <w:szCs w:val="24"/>
          <w:lang w:val="es-MX" w:eastAsia="es-MX"/>
        </w:rPr>
        <w:lastRenderedPageBreak/>
        <w:t xml:space="preserve">regionales. En el año 2017 se desarrollaron 22 proyectos relacionados con esta temática. Se prevé que en el año 2018 estos proyectos continúen su desarrollo.   </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Estrategia 3D</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i/>
          <w:color w:val="auto"/>
          <w:sz w:val="24"/>
          <w:szCs w:val="24"/>
          <w:u w:val="single"/>
          <w:lang w:val="es-MX" w:eastAsia="es-MX"/>
        </w:rPr>
        <w:t>Impulso al desarrollo de proyectos de investigación colectivos</w:t>
      </w:r>
      <w:r w:rsidRPr="00FC359F">
        <w:rPr>
          <w:rFonts w:ascii="Arial" w:eastAsia="Times New Roman" w:hAnsi="Arial" w:cs="Arial"/>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3D1. Líneas Generadoras de Aplicación de Conocimiento. Favorecer el desarrollo de proyectos de investigación de grupo en áreas estratégicas. Para el año 2018 el Fideicomiso Fondo de Investigación Científica y Desarrollo Tecnológico continuará apoyando el desarrollo de proyectos de investigación colectiva vinculados a las LGAC.</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3D2. Grupos Regionales de Investigación. Apoyar la formación de grupos regionales para el desarrollo de proyectos de investigación multidisciplinarios. En 2018 El Colegio continuará impulsando el desarrollo de proyectos de investigación multidisciplinarios con la participación de profesores investigadores de las instituciones de educación superior y centros públicos de investigación en la región.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3D3. Fondo de Investigación. Crear el fondo de investigación institucional para el apoyo de proyectos colectivos. En el año 2014 se formalizó la creación del Fideicomiso del Fondo de Investigación Científica y Tecnológica de El Colegio de San Luis. En el año 2015, como resultado de su primera convocatoria fue posible financiar el desarrollo de 5 nuevos proyectos colectivos. En el año 2016 el Fondo publicó una segunda convocatoria para el apoyo de nuevos proyectos. Se espera que en 2018 pueda continuarse con esta estrategia de apoyo a proyectos.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3D4. Propiciar el acceso de grupos de investigación a los fondos especiales de financiamiento regionales y de otras fuentes de financiamiento. Los profesores investigadores de El Colegio participarán en los fondos de financiamiento regionales. Se espera que en 2018, por lo menos 4 proyectos nuevos sean financiados por fuentes externas de financiamiento. </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Estrategia 3E</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i/>
          <w:color w:val="auto"/>
          <w:sz w:val="24"/>
          <w:szCs w:val="24"/>
          <w:u w:val="single"/>
          <w:lang w:val="es-MX" w:eastAsia="es-MX"/>
        </w:rPr>
        <w:t>Convenios de colaboración institucional</w:t>
      </w:r>
      <w:r w:rsidRPr="00FC359F">
        <w:rPr>
          <w:rFonts w:ascii="Arial" w:eastAsia="Times New Roman" w:hAnsi="Arial" w:cs="Arial"/>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3E1. Fomentar la participación de los investigadores en proyectos interinstitucionales.</w:t>
      </w:r>
      <w:r w:rsidRPr="00FC359F">
        <w:rPr>
          <w:rFonts w:ascii="Helvetica" w:eastAsia="Calibri" w:hAnsi="Helvetica" w:cs="Times New Roman"/>
          <w:color w:val="auto"/>
          <w:sz w:val="22"/>
          <w:szCs w:val="22"/>
          <w:lang w:val="es-MX"/>
        </w:rPr>
        <w:t xml:space="preserve"> </w:t>
      </w:r>
      <w:r w:rsidRPr="00FC359F">
        <w:rPr>
          <w:rFonts w:ascii="Arial" w:eastAsia="Times New Roman" w:hAnsi="Arial" w:cs="Arial"/>
          <w:color w:val="auto"/>
          <w:sz w:val="24"/>
          <w:szCs w:val="24"/>
          <w:lang w:val="es-MX" w:eastAsia="es-MX"/>
        </w:rPr>
        <w:t xml:space="preserve">En el primer semestre del año 2017, los profesores - investigadores desarrollaron 18 proyectos de vinculación interinstitucional. Entre otros, se impulsará el Laboratorio Nacional de Literatura de Tradición Oral, asociado al LANMO, en convenio con la ENES-UNAM Morelia. .Se pretende impulsar estos proyectos y generar nuevas propuestas, entre otras una de ellas </w:t>
      </w:r>
      <w:r w:rsidRPr="00FC359F">
        <w:rPr>
          <w:rFonts w:ascii="Arial" w:eastAsia="Times New Roman" w:hAnsi="Arial" w:cs="Arial"/>
          <w:color w:val="auto"/>
          <w:sz w:val="24"/>
          <w:szCs w:val="24"/>
          <w:lang w:val="es-MX" w:eastAsia="es-MX"/>
        </w:rPr>
        <w:lastRenderedPageBreak/>
        <w:t>sería promover un proyecto interdisciplinario entre los centros de la Coordinación 5.</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3E2. Fondos y apoyos para la investigación. El próximo año concluirán o en su caso, se solicitará extensión de algunos de los proyectos apoyados por el FIDEICOMISO. Se espera participar en posteriores convocatorias. También se participará en las convocatorias de Apoyos Especiales para la Investigación, el Desarrollo Tecnológico y la Innovación (IDTI) del COPOCYT. En el segundo semestres de este año, el Colegio ha participado ha solicitado el recurso. Al momento, se tiene resultado positivo en dos casos: para la organización del Seminario de impresos populares de Venegas Arroyo y del Coloquio Internacional Gitanos entre Europa y las Américas.   </w:t>
      </w:r>
    </w:p>
    <w:p w:rsidR="00FC359F" w:rsidRPr="00FC359F" w:rsidRDefault="00FC359F" w:rsidP="00FC359F">
      <w:pPr>
        <w:spacing w:after="200" w:line="276" w:lineRule="auto"/>
        <w:jc w:val="both"/>
        <w:rPr>
          <w:rFonts w:ascii="Helvetica" w:eastAsia="Times New Roman" w:hAnsi="Helvetica" w:cs="Times New Roman"/>
          <w:color w:val="auto"/>
          <w:sz w:val="22"/>
          <w:szCs w:val="24"/>
          <w:lang w:val="es-MX" w:eastAsia="es-MX"/>
        </w:rPr>
      </w:pPr>
      <w:r w:rsidRPr="00FC359F">
        <w:rPr>
          <w:rFonts w:ascii="Arial" w:eastAsia="Times New Roman" w:hAnsi="Arial" w:cs="Arial"/>
          <w:color w:val="auto"/>
          <w:sz w:val="24"/>
          <w:szCs w:val="24"/>
          <w:lang w:val="es-MX" w:eastAsia="es-MX"/>
        </w:rPr>
        <w:t xml:space="preserve">Proyecto 3E3. Proyectos especiales en convenio. Participar en el desarrollo de proyectos en los sectores público y privado. </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Estrategia 3F</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i/>
          <w:color w:val="auto"/>
          <w:sz w:val="24"/>
          <w:szCs w:val="24"/>
          <w:u w:val="single"/>
          <w:lang w:val="es-MX" w:eastAsia="es-MX"/>
        </w:rPr>
        <w:t>Generación de conocimiento en apoyo al diseño de políticas públicas orientadas al desarrollo regional.</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3F1. Perspectiva de Género. Desarrollar proyectos de investigación que contribuyan a la generación de políticas públicas sobre igualdad de género. El año 2014, tres profesores investigadores de El Colegio participaron en la elaboración y desarrollo del Diplomado sobre “Perspectiva de género, protocolos de atención a la violencia contra las mujeres y análisis de los instrumentos de política pública”, en colaboración con el IMES y los proyectos “Sistematización de la intervención sobre trata sexual de mujeres y niñas en San Luis Potosí” y “Diagnóstico sobre la violencia sexual contra las mujeres y la trata de personas en San Luis Potosí”. En 2015, este grupo de trabajo continuó impartiendo el diplomado y proporcionando asesoría a cuatro unidades de equidad de género en dependencias del gobierno del estado. En el año 2016 se estima que el proyecto se consolide y permita la creación de las Unidades de Género en las dependencias del Gobierno del Estado y de esta manera incorporar la perspectiva de género como política integral en el Estado.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En el segundo semestre del año 2017 iniciará su operación el Laboratorio de Investigación: Género, Interculturalidad y Derechos Humanos con la participación de profesores investigadores, personal de mandos medios y personal operativo, investigadores invitados de instituciones nacionales y del extranjero, becarios y </w:t>
      </w:r>
      <w:proofErr w:type="spellStart"/>
      <w:r w:rsidRPr="00FC359F">
        <w:rPr>
          <w:rFonts w:ascii="Arial" w:eastAsia="Times New Roman" w:hAnsi="Arial" w:cs="Arial"/>
          <w:color w:val="auto"/>
          <w:sz w:val="24"/>
          <w:szCs w:val="24"/>
          <w:lang w:val="es-MX" w:eastAsia="es-MX"/>
        </w:rPr>
        <w:t>posdoctorantes</w:t>
      </w:r>
      <w:proofErr w:type="spellEnd"/>
      <w:r w:rsidRPr="00FC359F">
        <w:rPr>
          <w:rFonts w:ascii="Arial" w:eastAsia="Times New Roman" w:hAnsi="Arial" w:cs="Arial"/>
          <w:color w:val="auto"/>
          <w:sz w:val="24"/>
          <w:szCs w:val="24"/>
          <w:lang w:val="es-MX" w:eastAsia="es-MX"/>
        </w:rPr>
        <w:t xml:space="preserve">.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lastRenderedPageBreak/>
        <w:t xml:space="preserve">Proyecto 3F2. Migración. Elaborar proyectos de investigación que contribuyan a la generación de políticas públicas que permitan atender la complejidad de los procesos migratorios. En el año 2016 se desarrollaron 8 proyectos relacionados con esta temática. Se prevé que en el año 2018 estos proyectos obtengan resultados.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3F3. Alimentación y Salud. Realizar proyectos de investigación que contribuyan a la generación de políticas públicas en materia de alimentación y salud. En el año 2016 inició el desarrollo del proyecto “Sistema pastoril, conocimientos locales e identidad territorial. Alternativa alimentaria para el desarrollo regional en el desierto”, y uno más se encuentra en proceso de evaluación por el FOMIX San Luis Potosí. En el año 2018 se proyecta concluir este proyecto y continuar con las temáticas de alimentación y salud como áreas prioritarias en el desarrollo de proyectos inter- institucionales en proyectos como el de </w:t>
      </w:r>
      <w:r w:rsidRPr="00FC359F">
        <w:rPr>
          <w:rFonts w:ascii="Arial" w:eastAsia="Calibri" w:hAnsi="Arial" w:cs="Arial"/>
          <w:color w:val="222222"/>
          <w:sz w:val="22"/>
          <w:szCs w:val="22"/>
          <w:shd w:val="clear" w:color="auto" w:fill="FFFFFF"/>
          <w:lang w:val="es-MX"/>
        </w:rPr>
        <w:t>“Apropiación social de la agenda de innovación de los sistemas agroalimentarios en SLP”</w:t>
      </w:r>
      <w:r w:rsidRPr="00FC359F">
        <w:rPr>
          <w:rFonts w:ascii="Arial" w:eastAsia="Times New Roman" w:hAnsi="Arial" w:cs="Arial"/>
          <w:color w:val="auto"/>
          <w:sz w:val="24"/>
          <w:szCs w:val="24"/>
          <w:lang w:val="es-MX" w:eastAsia="es-MX"/>
        </w:rPr>
        <w:t xml:space="preserve"> o el</w:t>
      </w:r>
      <w:r w:rsidRPr="00FC359F">
        <w:rPr>
          <w:rFonts w:ascii="Baskerville Old Face" w:eastAsia="Calibri" w:hAnsi="Baskerville Old Face" w:cs="Arial"/>
          <w:color w:val="000000"/>
          <w:lang w:val="es-MX" w:eastAsia="es-MX"/>
        </w:rPr>
        <w:t xml:space="preserve"> “</w:t>
      </w:r>
      <w:r w:rsidRPr="00FC359F">
        <w:rPr>
          <w:rFonts w:ascii="Arial" w:eastAsia="Times New Roman" w:hAnsi="Arial" w:cs="Arial"/>
          <w:color w:val="auto"/>
          <w:sz w:val="24"/>
          <w:szCs w:val="24"/>
          <w:lang w:val="es-MX" w:eastAsia="es-MX"/>
        </w:rPr>
        <w:t>Globalización, familia y economía campesina. Producción, uso y distribución de alimentos en comunidades campesinas potosinas del Desierto Chihuahuense”, entre otros.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3F4. Educación de Calidad. Participar en el desarrollo de proyectos de investigación que contribuyan y favorezcan a la generación de políticas públicas para una educación de calidad. En el año 2017 se continuó desarrollando el proyecto sobre “Problemas emergentes de la educación” y “Fortalecimiento de la Política de Igualdad de Género en la Secretaría de Educación Pública del Estado de San Luis Potosí”, se espera ofrecer resultados para 2018.</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3F5. Desarrollo Comunitario Sustentable. Proponer la realización de proyectos que fortalezcan el desarrollo comunitario sustentable para la conservación de los recursos naturales. En el año 2016 se desarrollaron 15 proyectos relacionados con esta temática. En el año 2017 continuaron su desarrollo y en 2018 se procurará iniciar nuevos proyectos que aborden este tema prioritario. </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Estrategia 3G</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i/>
          <w:color w:val="auto"/>
          <w:sz w:val="24"/>
          <w:szCs w:val="24"/>
          <w:u w:val="single"/>
          <w:lang w:val="es-MX" w:eastAsia="es-MX"/>
        </w:rPr>
        <w:t>Transferencia social del conocimiento</w:t>
      </w:r>
      <w:r w:rsidRPr="00FC359F">
        <w:rPr>
          <w:rFonts w:ascii="Arial" w:eastAsia="Times New Roman" w:hAnsi="Arial" w:cs="Arial"/>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3G1. Desarrollo de las Capacidades en el Sector Social. Responder a las demandas de generación y transferencia de conocimiento socialmente pertinente orientado a promover opciones para el desarrollo social. En 2018 continuaremos con el desarrollo de proyectos con esta orientación. Un ejemplo, entre otros, es el proyecto: “Apropiación social de la agenda de innovación de los sistemas </w:t>
      </w:r>
      <w:r w:rsidRPr="00FC359F">
        <w:rPr>
          <w:rFonts w:ascii="Arial" w:eastAsia="Times New Roman" w:hAnsi="Arial" w:cs="Arial"/>
          <w:color w:val="auto"/>
          <w:sz w:val="24"/>
          <w:szCs w:val="24"/>
          <w:lang w:val="es-MX" w:eastAsia="es-MX"/>
        </w:rPr>
        <w:lastRenderedPageBreak/>
        <w:t xml:space="preserve">agroalimentarios en SLP”, en el que se integrará una investigadora bajo el programa de Cátedras.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3G2. Desarrollo Comunitario y Participación Social. Fortalecer el capital y cohesión social mediante la organización y participación de las comunidades promoviendo la confianza y corresponsabilidad. A partir del año 2015 se realiza el curso taller “Agua, Territorios y Pueblos originarios en la Huasteca. Formación de Investigadores Comunitarios”. Este proyecto se desarrolla en Coordinación con el Observatorio Indígena en Derechos Humanos de la Huasteca. El proyecto tiene continuidad durante los años 2016 y 2017. Se espera ofrecer resultados en 2018. Asimismo también se seguirá trabajando en el Padrón de comunidades indígenas de Querétaro, proyecto de Agustín Ávila Méndez financiado por el Municipio De Landa Matamoros, </w:t>
      </w:r>
      <w:proofErr w:type="spellStart"/>
      <w:r w:rsidRPr="00FC359F">
        <w:rPr>
          <w:rFonts w:ascii="Arial" w:eastAsia="Times New Roman" w:hAnsi="Arial" w:cs="Arial"/>
          <w:color w:val="auto"/>
          <w:sz w:val="24"/>
          <w:szCs w:val="24"/>
          <w:lang w:val="es-MX" w:eastAsia="es-MX"/>
        </w:rPr>
        <w:t>Qro</w:t>
      </w:r>
      <w:proofErr w:type="spellEnd"/>
      <w:r w:rsidRPr="00FC359F">
        <w:rPr>
          <w:rFonts w:ascii="Arial" w:eastAsia="Times New Roman" w:hAnsi="Arial" w:cs="Arial"/>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3G3. Metodologías y Diálogo Constructivo. Diseñar una estrategia integral que permita reconstruir el tejido social. El Colegio participó en el año 2017 en el diseño de estrategias que permitan –mediante la aplicación de metodologías específicas- la elaboración de políticas públicas orientadas a la reconstrucción del tejido social. En el segundo semestre se esperan realizar actividades con el Laboratorio de Cohesión Social II de la Comunidad Europea, que se extenderán hasta 2018.</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 xml:space="preserve">Estrategia 3H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i/>
          <w:color w:val="auto"/>
          <w:sz w:val="24"/>
          <w:szCs w:val="24"/>
          <w:u w:val="single"/>
          <w:lang w:val="es-MX" w:eastAsia="es-MX"/>
        </w:rPr>
        <w:t>Cooperación educativa, científica y tecnológica para la promoción del desarrollo.</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3H1. Diálogo Estratégico. Propiciar la comunicación continua de los profesores investigadores y estudiantes con los actores estatales, organismos no gubernamentales y foros internacionales, mediante la participación activa para abordar los problemas que impactan en el desarrollo local y regional. En 2018 se realizarán diversas actividades (talleres, diplomados, seminarios) dirigidas al sector gubernamental, organismos no gubernamentales y sector social sobre metodologías que permitan emitir recomendaciones enfocadas al diálogo constructivo para la reconstrucción del tejido social.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3H2. Competitividad. Otorgar los apoyos necesarios para que los profesores investigadores puedan establecer compromisos adecuados para abordar problemas científicos relevantes que les permitan situarse en la frontera del conocimiento y la innovación y competir en los circuitos internacionales. En el año 2018 se apoyará la asistencia de los profesores investigadores a seminarios, reuniones científicas y programas de formación y actualización académica en áreas de interés que los posicione en niveles de competencia y liderazgo. El Fideicomiso </w:t>
      </w:r>
      <w:r w:rsidRPr="00FC359F">
        <w:rPr>
          <w:rFonts w:ascii="Arial" w:eastAsia="Times New Roman" w:hAnsi="Arial" w:cs="Arial"/>
          <w:color w:val="auto"/>
          <w:sz w:val="24"/>
          <w:szCs w:val="24"/>
          <w:lang w:val="es-MX" w:eastAsia="es-MX"/>
        </w:rPr>
        <w:lastRenderedPageBreak/>
        <w:t xml:space="preserve">Fondo de Investigación Científica y Desarrollo Tecnológico impulsa el desarrollo de proyectos en temas relacionados con la competitividad. En el año 2018 se espera financiar por lo menos 3 nuevos proyectos. </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Objetivo 4.</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b/>
          <w:color w:val="auto"/>
          <w:sz w:val="24"/>
          <w:szCs w:val="24"/>
          <w:lang w:val="es-MX" w:eastAsia="es-MX"/>
        </w:rPr>
        <w:t xml:space="preserve">Acercamiento de la Ciencia a los Sectores Sociales. </w:t>
      </w:r>
      <w:r w:rsidRPr="00FC359F">
        <w:rPr>
          <w:rFonts w:ascii="Arial" w:eastAsia="Times New Roman" w:hAnsi="Arial" w:cs="Arial"/>
          <w:color w:val="auto"/>
          <w:sz w:val="24"/>
          <w:szCs w:val="24"/>
          <w:lang w:val="es-MX" w:eastAsia="es-MX"/>
        </w:rPr>
        <w:t xml:space="preserve">Difundir de manera sistemática y oportuna los resultados de las investigaciones y de los programas docentes que se realizan en El Colegio. </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Estrategia 4A</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i/>
          <w:color w:val="auto"/>
          <w:sz w:val="24"/>
          <w:szCs w:val="24"/>
          <w:u w:val="single"/>
          <w:lang w:val="es-MX" w:eastAsia="es-MX"/>
        </w:rPr>
        <w:t>Imagen institucional</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4A1. Fortalecimiento de la Imagen Institucional. Diseñar la estrategia de divulgación para ampliar el alcance y los impactos del desarrollo de proyectos de investigación y formación de recursos humanos y actividades de difusión institucionales. En 2018 se continuará la participación de El Colegio en eventos de divulgación científica a grupos intermedios. Se incrementará la participación en medios de comunicación masiva con el objeto de dar a conocer los resultados de investigación y actividades institucionales.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4A2. Medios Audiovisuales. Establecer un programa para la producción de material audiovisual y de divulgación. En 2018 continuará la producción de una serie de videos de divulgación de los programas de investigación y promoción de los posgrados.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4A3. Medios Digitales y Redes Sociales. Impulsar la imagen institucional a través de medios digitales y redes sociales. En 2018, se buscará ampliar los contenidos de los medios y redes sociales que actualmente se utilizan.</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 xml:space="preserve">Estrategia 4B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i/>
          <w:color w:val="auto"/>
          <w:sz w:val="24"/>
          <w:szCs w:val="24"/>
          <w:u w:val="single"/>
          <w:lang w:val="es-MX" w:eastAsia="es-MX"/>
        </w:rPr>
        <w:t>Difusión de resultados de investigación</w:t>
      </w:r>
      <w:r w:rsidRPr="00FC359F">
        <w:rPr>
          <w:rFonts w:ascii="Arial" w:eastAsia="Times New Roman" w:hAnsi="Arial" w:cs="Arial"/>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4B1. Fortalecer el Programa Institucional de Difusión. Impulsar un programa de distribución del fondo editorial. En el año 2014 se inició el diseño de una estrategia para fortalecer el programa institucional de difusión e implantar nuevas opciones de distribución del fondo editorial.  En el año 2018 se continuarán las actividades que permitan una mayor cobertura de contenidos dirigidos a la comunidad de El Colegio, la comunidad académica nacional, los estudiantes y la sociedad en general. En particular, se impulsará la estrategia de distribución del </w:t>
      </w:r>
      <w:r w:rsidRPr="00FC359F">
        <w:rPr>
          <w:rFonts w:ascii="Arial" w:eastAsia="Times New Roman" w:hAnsi="Arial" w:cs="Arial"/>
          <w:color w:val="auto"/>
          <w:sz w:val="24"/>
          <w:szCs w:val="24"/>
          <w:lang w:val="es-MX" w:eastAsia="es-MX"/>
        </w:rPr>
        <w:lastRenderedPageBreak/>
        <w:t xml:space="preserve">fondo editorial a través del rediseño de la página del Fondo Editorial y de la producción de libros electrónicos.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4B2. Convenios de Difusión. Diseñar programas conjuntos para aprovechar los canales y la infraestructura existente en otras instituciones afines. En 2018 se continuarán los trabajos con el Consejo Asesor de Difusión (CADI) para la utilización de espacios de difusión regional y nacional en coordinación con los Centros Públicos de Investigación. Se realizó un convenio con Canal 9 para dar inicio al programa de televisión “Hablemos”, que se espera continúe operando en 2018.</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4B3. Promoción Editorial. Instalar la librería en El Colegio. En el año 2015 la librería de El Colegio inició sus operaciones en las nuevas instalaciones. Mediante esta acción los materiales del Fondo Editorial están al alcance de los usuarios y la difusión de los materiales se hace más eficiente. En el año 2018 se estima que la librería logre un mayor posicionamiento y continúe con su actividad de manera sostenida. Se iniciará la distribución y venta de libros en la Red </w:t>
      </w:r>
      <w:proofErr w:type="spellStart"/>
      <w:r w:rsidRPr="00FC359F">
        <w:rPr>
          <w:rFonts w:ascii="Arial" w:eastAsia="Times New Roman" w:hAnsi="Arial" w:cs="Arial"/>
          <w:color w:val="auto"/>
          <w:sz w:val="24"/>
          <w:szCs w:val="24"/>
          <w:lang w:val="es-MX" w:eastAsia="es-MX"/>
        </w:rPr>
        <w:t>Educal</w:t>
      </w:r>
      <w:proofErr w:type="spellEnd"/>
      <w:r w:rsidRPr="00FC359F">
        <w:rPr>
          <w:rFonts w:ascii="Arial" w:eastAsia="Times New Roman" w:hAnsi="Arial" w:cs="Arial"/>
          <w:color w:val="auto"/>
          <w:sz w:val="24"/>
          <w:szCs w:val="24"/>
          <w:lang w:val="es-MX" w:eastAsia="es-MX"/>
        </w:rPr>
        <w:t xml:space="preserve"> lo que permitirá la promoción editorial en más de 20 ciudades del país. Así como en museos locales y librerías de la UASLP.</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4B4. Eventos Académicos. Organizar ciclos de conferencias, presentaciones de libros y actividades culturales para la comunidad. En 2018 se continuará con la organización de conferencias, presentaciones editoriales y, reuniones científicas que permitan la difusión de los resultados de las investigaciones que se realizan en El Colegio.</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Estrategia 4C</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color w:val="auto"/>
          <w:sz w:val="24"/>
          <w:szCs w:val="24"/>
          <w:lang w:val="es-MX" w:eastAsia="es-MX"/>
        </w:rPr>
        <w:t xml:space="preserve"> </w:t>
      </w:r>
      <w:r w:rsidRPr="00FC359F">
        <w:rPr>
          <w:rFonts w:ascii="Arial" w:eastAsia="Times New Roman" w:hAnsi="Arial" w:cs="Arial"/>
          <w:i/>
          <w:color w:val="auto"/>
          <w:sz w:val="24"/>
          <w:szCs w:val="24"/>
          <w:u w:val="single"/>
          <w:lang w:val="es-MX" w:eastAsia="es-MX"/>
        </w:rPr>
        <w:t>Ampliar el Programa Editorial</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4C1. Estrategia editorial de publicación de resultados de investigación. Propiciar una productividad académica y editorial equilibrada entre los profesores investigadores de la institución. El programa editorial de El Colegio prevé en el año 2018 la publicación de 34 libros y 2 Revistas, todos en formato impreso y digital.</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4C2. Nuevos Métodos de Producción Editorial. Incrementar las publicaciones electrónicas de libros y revistas. En el año 2014 se inició el proceso de producción electrónica de libros y revistas. Para el año 2018 la totalidad de las publicaciones se realizarán en formato electrónico e impreso.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4C3. Financiamiento. Desarrollar la reingeniería para el financiamiento de la producción editorial. En el año 2018 se continuará con la revisión los costos </w:t>
      </w:r>
      <w:r w:rsidRPr="00FC359F">
        <w:rPr>
          <w:rFonts w:ascii="Arial" w:eastAsia="Times New Roman" w:hAnsi="Arial" w:cs="Arial"/>
          <w:color w:val="auto"/>
          <w:sz w:val="24"/>
          <w:szCs w:val="24"/>
          <w:lang w:val="es-MX" w:eastAsia="es-MX"/>
        </w:rPr>
        <w:lastRenderedPageBreak/>
        <w:t>editoriales de manera permanente con el objeto de procurar ahorros en los procesos editoriales y se incorporaran nuevas tecnologías y medios electrónicos para hacer más eficiente los procesos editoriales.</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 xml:space="preserve">Estrategia 4D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u w:val="single"/>
          <w:lang w:val="es-MX" w:eastAsia="es-MX"/>
        </w:rPr>
        <w:t>Desarrollar programas específicos de difusión con los sectores público, social y privado</w:t>
      </w:r>
      <w:r w:rsidRPr="00FC359F">
        <w:rPr>
          <w:rFonts w:ascii="Arial" w:eastAsia="Times New Roman" w:hAnsi="Arial" w:cs="Arial"/>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4D1. Proyectos de Vinculación. Estimular la creación de proyectos vinculados a las ciencias sociales y las humanidades con los sectores público, privado y social. Para el 2018 se realizarán actividades de acercamiento como foros, entrevistas y encuestas a representantes del sector gubernamental local para dar a conocer las capacidades de investigación de los programas de investigación de El Colegio, así como para obtener información de sus necesidades de investigación o evaluación de programas sociales. Así como lograr una participación activa en las redes de vinculación. Por ejemplo la Red de Vinculación del Estado de San Luis Potosí y el Consejo Asesor de Vinculación (CAVI) del CONACYT.</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4D2. Participación Social. Incorporar la participación social desde el diseño y ejecución hasta la evaluación y retroalimentación de los proyectos de investigación. En el 2018 se realizarán actividades de acercamiento con organizaciones sociales locales para conocer sus problemáticas y de esa manera diseñar proyectos de investigación que contemplen el conocimiento de estas organizaciones. El área de vinculación participara activamente en esta estrategia.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4D3. Infraestructura. Gestionar los convenios y acuerdos necesarios para favorecer el préstamo y uso de infraestructura entre instituciones y profesores investigadores. A partir del año 2016 se celebraron convenios para el uso de espacio e infraestructura con diversas organizaciones de la sociedad civil, organismos del gobierno del Estado e instituciones académicas. Se espera en 2018 continuar el apoyo a estas instituciones y celebrar por lo menos 10 eventos de esta naturaleza. </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 xml:space="preserve">Estrategia 4E  </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i/>
          <w:color w:val="auto"/>
          <w:sz w:val="24"/>
          <w:szCs w:val="24"/>
          <w:u w:val="single"/>
          <w:lang w:val="es-MX" w:eastAsia="es-MX"/>
        </w:rPr>
        <w:t>Contribuir con otras instituciones afines al acercamiento de la ciencia a los sectores sociales.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4E1. Asociación estratégica. Extender y mejorar los canales de comunicación y difusión de la investigación en ciencias sociales y humanidades con </w:t>
      </w:r>
      <w:r w:rsidRPr="00FC359F">
        <w:rPr>
          <w:rFonts w:ascii="Arial" w:eastAsia="Times New Roman" w:hAnsi="Arial" w:cs="Arial"/>
          <w:color w:val="auto"/>
          <w:sz w:val="24"/>
          <w:szCs w:val="24"/>
          <w:lang w:val="es-MX" w:eastAsia="es-MX"/>
        </w:rPr>
        <w:lastRenderedPageBreak/>
        <w:t>el fin de sumar esfuerzos y recursos en el desarrollo de proyectos. Para el 2018 se evaluará la viabilidad de implantar un programa de Educación Continua dirigido a los diversos sectores sociales incorporando expertos de El Colegio y de otras instituciones.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4E2. Divulgación de la Ciencia. Diseñar una estrategia de divulgación científica para público amplio con las instituciones afines de la región. El Colegio participara en 2018 en las Jornadas Estatales de Ciencia, Tecnología e Innovación, Semana de Ciencia y Tecnología y otros eventos de divulgación de la ciencia dirigidos a la sociedad.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4E3. Ciencia para Niños. Diseñar un programa específico para niños para generar interés y estimular vocaciones científicas. En 2018 se prevé la realización de visitas guiadas de escuelas a El Colegio, establecer colaboración con los museos locales y con las escuelas para que los profesores investigadores y los estudiantes ofrezcan charlas que fomenten en los niños el interés por la investigación. En 2017 se celebró un convenio con el DIF estatal a fin de participar en su Programa Crecer para la Vida, que atenderá a niños de 8 a 15 años. </w:t>
      </w:r>
    </w:p>
    <w:p w:rsidR="00FC359F" w:rsidRPr="00FC359F" w:rsidRDefault="00FC359F" w:rsidP="00FC359F">
      <w:pPr>
        <w:tabs>
          <w:tab w:val="center" w:pos="4419"/>
        </w:tabs>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Estrategia 4F</w:t>
      </w:r>
      <w:r w:rsidRPr="00FC359F">
        <w:rPr>
          <w:rFonts w:ascii="Arial" w:eastAsia="Times New Roman" w:hAnsi="Arial" w:cs="Arial"/>
          <w:b/>
          <w:color w:val="auto"/>
          <w:sz w:val="24"/>
          <w:szCs w:val="24"/>
          <w:lang w:val="es-MX" w:eastAsia="es-MX"/>
        </w:rPr>
        <w:tab/>
        <w:t xml:space="preserve"> </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i/>
          <w:color w:val="auto"/>
          <w:sz w:val="24"/>
          <w:szCs w:val="24"/>
          <w:u w:val="single"/>
          <w:lang w:val="es-MX" w:eastAsia="es-MX"/>
        </w:rPr>
        <w:t>Ampliar los servicios de la ciencia a la comunidad</w:t>
      </w:r>
      <w:r w:rsidRPr="00FC359F">
        <w:rPr>
          <w:rFonts w:ascii="Arial" w:eastAsia="Times New Roman" w:hAnsi="Arial" w:cs="Arial"/>
          <w:b/>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4F1. Biblioteca para todos. Difundir de manera continua y sistemática servicios y productos informativos y desarrollar las habilidades de los usuarios. En 2018 la Biblioteca consolidará su presencia en las redes sociales con el propósito de abarcar un mayor número de usuarios de sus recursos de información y continuará ofreciendo un programa de formación de usuarios para propiciar la autosuficiencia en cada uno de ellos. Se dará inicio a un programa de biblioteca itinerante en instituciones académicas.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4F2. Fomento a la Lectura. Promover un programa de fomento a la lectura para jóvenes y niños. En 2018 la Biblioteca pondrá al alcance de los usuarios los materiales bibliográficos que apoyen en su formación y fortalezca los hábitos de lectura. En el año continuará con la realización de exposiciones itinerantes que contribuyan a la difusión de la producción editorial de El Colegio.</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4F3. Acceso Digital. Ampliar el acceso a bases de datos y de consulta al público en general. En el año 2018 se continuarán las actividades relacionadas con el acceso a las bases de datos a los usuarios a través de medios digitales.</w:t>
      </w:r>
    </w:p>
    <w:p w:rsidR="00F76EDF" w:rsidRDefault="00F76EDF" w:rsidP="00FC359F">
      <w:pPr>
        <w:spacing w:after="200" w:line="276" w:lineRule="auto"/>
        <w:jc w:val="both"/>
        <w:rPr>
          <w:rFonts w:ascii="Arial" w:eastAsia="Times New Roman" w:hAnsi="Arial" w:cs="Arial"/>
          <w:b/>
          <w:color w:val="auto"/>
          <w:sz w:val="24"/>
          <w:szCs w:val="24"/>
          <w:lang w:val="es-MX" w:eastAsia="es-MX"/>
        </w:rPr>
      </w:pP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lastRenderedPageBreak/>
        <w:t>Estrategia 4G</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i/>
          <w:color w:val="auto"/>
          <w:sz w:val="24"/>
          <w:szCs w:val="24"/>
          <w:u w:val="single"/>
          <w:lang w:val="es-MX" w:eastAsia="es-MX"/>
        </w:rPr>
        <w:t>Participación en Medios Masivos de Comunicación</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4G1. Medios Masivos de Comunicación. Promover la participación de los profesores investigadores en los medios masivos de comunicación. En 2018 se establecerán líneas de colaboración con medios locales para que los profesores investigadores participen de manera periódica y permanente en los medios masivos locales.</w:t>
      </w:r>
    </w:p>
    <w:p w:rsidR="00FC359F" w:rsidRPr="00FC359F" w:rsidRDefault="00FC359F" w:rsidP="00FC359F">
      <w:pPr>
        <w:spacing w:after="200" w:line="276" w:lineRule="auto"/>
        <w:jc w:val="both"/>
        <w:rPr>
          <w:rFonts w:ascii="Arial" w:eastAsia="Times New Roman" w:hAnsi="Arial" w:cs="Arial"/>
          <w:color w:val="FF0000"/>
          <w:sz w:val="24"/>
          <w:szCs w:val="24"/>
          <w:lang w:val="es-MX" w:eastAsia="es-MX"/>
        </w:rPr>
      </w:pPr>
      <w:r w:rsidRPr="00FC359F">
        <w:rPr>
          <w:rFonts w:ascii="Arial" w:eastAsia="Times New Roman" w:hAnsi="Arial" w:cs="Arial"/>
          <w:color w:val="auto"/>
          <w:sz w:val="24"/>
          <w:szCs w:val="24"/>
          <w:lang w:val="es-MX" w:eastAsia="es-MX"/>
        </w:rPr>
        <w:t>Proyecto 4G2. Programa de Radio. Consolidar el programa institucional de Radio “</w:t>
      </w:r>
      <w:proofErr w:type="spellStart"/>
      <w:r w:rsidRPr="00FC359F">
        <w:rPr>
          <w:rFonts w:ascii="Arial" w:eastAsia="Times New Roman" w:hAnsi="Arial" w:cs="Arial"/>
          <w:color w:val="auto"/>
          <w:sz w:val="24"/>
          <w:szCs w:val="24"/>
          <w:lang w:val="es-MX" w:eastAsia="es-MX"/>
        </w:rPr>
        <w:t>Entre</w:t>
      </w:r>
      <w:r w:rsidR="00F1144D">
        <w:rPr>
          <w:rFonts w:ascii="Arial" w:eastAsia="Times New Roman" w:hAnsi="Arial" w:cs="Arial"/>
          <w:color w:val="auto"/>
          <w:sz w:val="24"/>
          <w:szCs w:val="24"/>
          <w:lang w:val="es-MX" w:eastAsia="es-MX"/>
        </w:rPr>
        <w:t>v</w:t>
      </w:r>
      <w:r w:rsidRPr="00FC359F">
        <w:rPr>
          <w:rFonts w:ascii="Arial" w:eastAsia="Times New Roman" w:hAnsi="Arial" w:cs="Arial"/>
          <w:color w:val="auto"/>
          <w:sz w:val="24"/>
          <w:szCs w:val="24"/>
          <w:lang w:val="es-MX" w:eastAsia="es-MX"/>
        </w:rPr>
        <w:t>oces</w:t>
      </w:r>
      <w:proofErr w:type="spellEnd"/>
      <w:r w:rsidRPr="00FC359F">
        <w:rPr>
          <w:rFonts w:ascii="Arial" w:eastAsia="Times New Roman" w:hAnsi="Arial" w:cs="Arial"/>
          <w:color w:val="auto"/>
          <w:sz w:val="24"/>
          <w:szCs w:val="24"/>
          <w:lang w:val="es-MX" w:eastAsia="es-MX"/>
        </w:rPr>
        <w:t>” y ampliar su cobertura. Para 2018 se tiene como meta trasmitir 42 programas radiofónicos. En 2018 se establece como meta continuar con la trasmisión del programa de manera continua, incorporando actores sociales y académicos. En 2018 se ampliará el Programa de Radio mediante la trasmisión del programa Resonancia Voces de la Academia en Ciencias Sociales y Humanidades de México. Por otro lado se ampliará la cobertura de El Colegio mediante el inicio del programa “Hablemos…” en alianza con Canal 9 T.V.</w:t>
      </w:r>
      <w:r w:rsidRPr="00FC359F">
        <w:rPr>
          <w:rFonts w:ascii="Arial" w:eastAsia="Times New Roman" w:hAnsi="Arial" w:cs="Arial"/>
          <w:color w:val="FF0000"/>
          <w:sz w:val="24"/>
          <w:szCs w:val="24"/>
          <w:lang w:val="es-MX" w:eastAsia="es-MX"/>
        </w:rPr>
        <w:t xml:space="preserve">  </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Objetivo 5</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b/>
          <w:color w:val="auto"/>
          <w:sz w:val="24"/>
          <w:szCs w:val="24"/>
          <w:lang w:val="es-MX" w:eastAsia="es-MX"/>
        </w:rPr>
        <w:t xml:space="preserve">Sociedad del Conocimiento. </w:t>
      </w:r>
      <w:r w:rsidRPr="00FC359F">
        <w:rPr>
          <w:rFonts w:ascii="Arial" w:eastAsia="Times New Roman" w:hAnsi="Arial" w:cs="Arial"/>
          <w:color w:val="auto"/>
          <w:sz w:val="24"/>
          <w:szCs w:val="24"/>
          <w:lang w:val="es-MX" w:eastAsia="es-MX"/>
        </w:rPr>
        <w:t>Promover el diseño, operación y difusión de tecnologías de información vinculadas a la sociedad del conocimiento, las comunicaciones y la información.</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Estrategia 5A</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i/>
          <w:color w:val="auto"/>
          <w:sz w:val="24"/>
          <w:szCs w:val="24"/>
          <w:u w:val="single"/>
          <w:lang w:val="es-MX" w:eastAsia="es-MX"/>
        </w:rPr>
        <w:t>Desarrollar Aplicaciones de Apoyo a los Proyectos de Investigación</w:t>
      </w:r>
      <w:r w:rsidRPr="00FC359F">
        <w:rPr>
          <w:rFonts w:ascii="Arial" w:eastAsia="Times New Roman" w:hAnsi="Arial" w:cs="Arial"/>
          <w:b/>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5A1. Aplicaciones de software.  Garantizar los procesos de investigación mediante el uso y aplicación de nuevas tecnologías. En el año 2014 se inició el desarrollo e implantación una nueva aplicación de software en web– Sistema Único de Información Académica- que tiene como fin contribuir a mejorar sustancialmente la sistematización de los resultados de investigación y las actividades que realizan los profesores investigadores. En el año, se concluyó la migración de la información histórica de una aplicación con tecnología cliente-servidor a tecnología web. Para el año 2017, la UTI se propone consolidar los informes, el análisis de la información que se genera a través de esta aplicación e incorporar esta herramienta para el uso de evaluadores externos. En 2018 se espera consolidar la herramienta e incorporar mejoras. </w:t>
      </w:r>
    </w:p>
    <w:p w:rsidR="00FC359F" w:rsidRPr="00FC359F" w:rsidRDefault="00FC359F" w:rsidP="00FC359F">
      <w:pPr>
        <w:autoSpaceDE w:val="0"/>
        <w:autoSpaceDN w:val="0"/>
        <w:adjustRightInd w:val="0"/>
        <w:spacing w:after="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Para 2017 se consolidará el uso del Portal de Servicios Digitales (PSD), crear una nueva intranet de fácil acceso y se pondrá en operación el Sistema Integral de </w:t>
      </w:r>
      <w:r w:rsidRPr="00FC359F">
        <w:rPr>
          <w:rFonts w:ascii="Arial" w:eastAsia="Times New Roman" w:hAnsi="Arial" w:cs="Arial"/>
          <w:color w:val="auto"/>
          <w:sz w:val="24"/>
          <w:szCs w:val="24"/>
          <w:lang w:val="es-MX" w:eastAsia="es-MX"/>
        </w:rPr>
        <w:lastRenderedPageBreak/>
        <w:t>Planeación y Administración Escolar (SIPAE), sistema web que muestra la trayectoria escolar de cada estudiante, desde su ingreso a El Colegio hasta su egreso. Para 2018 se consolidarán estas aplicaciones y en particular, en el caso del SIPAE, las mejoras se realizarán con personal de la Unidad de Tecnologías y con esta medida se logrará la optimización del sistema.</w:t>
      </w:r>
    </w:p>
    <w:p w:rsidR="00FC359F" w:rsidRPr="00FC359F" w:rsidRDefault="00FC359F" w:rsidP="00FC359F">
      <w:pPr>
        <w:autoSpaceDE w:val="0"/>
        <w:autoSpaceDN w:val="0"/>
        <w:adjustRightInd w:val="0"/>
        <w:spacing w:after="0" w:line="276" w:lineRule="auto"/>
        <w:rPr>
          <w:rFonts w:ascii="Arial" w:eastAsia="Times New Roman" w:hAnsi="Arial" w:cs="Arial"/>
          <w:color w:val="auto"/>
          <w:sz w:val="24"/>
          <w:szCs w:val="24"/>
          <w:lang w:val="es-MX" w:eastAsia="es-MX"/>
        </w:rPr>
      </w:pP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5A2. Automatización de Procesos. Estimular la creatividad en el campo de las aplicaciones y desarrollo tecnológicos basados en la digitalización, la presentación y comunicación de los proyectos de investigación.</w:t>
      </w:r>
    </w:p>
    <w:p w:rsidR="00FC359F" w:rsidRPr="00FC359F" w:rsidRDefault="00FC359F" w:rsidP="00FC359F">
      <w:pPr>
        <w:autoSpaceDE w:val="0"/>
        <w:autoSpaceDN w:val="0"/>
        <w:spacing w:after="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A partir del año 2014 se implementó la aplicación web para elaborar los contenidos de la Revista de El Colegio en la plataforma Open </w:t>
      </w:r>
      <w:proofErr w:type="spellStart"/>
      <w:r w:rsidRPr="00FC359F">
        <w:rPr>
          <w:rFonts w:ascii="Arial" w:eastAsia="Times New Roman" w:hAnsi="Arial" w:cs="Arial"/>
          <w:color w:val="auto"/>
          <w:sz w:val="24"/>
          <w:szCs w:val="24"/>
          <w:lang w:val="es-MX" w:eastAsia="es-MX"/>
        </w:rPr>
        <w:t>Journal</w:t>
      </w:r>
      <w:proofErr w:type="spellEnd"/>
      <w:r w:rsidRPr="00FC359F">
        <w:rPr>
          <w:rFonts w:ascii="Arial" w:eastAsia="Times New Roman" w:hAnsi="Arial" w:cs="Arial"/>
          <w:color w:val="auto"/>
          <w:sz w:val="24"/>
          <w:szCs w:val="24"/>
          <w:lang w:val="es-MX" w:eastAsia="es-MX"/>
        </w:rPr>
        <w:t xml:space="preserve"> </w:t>
      </w:r>
      <w:proofErr w:type="spellStart"/>
      <w:r w:rsidRPr="00FC359F">
        <w:rPr>
          <w:rFonts w:ascii="Arial" w:eastAsia="Times New Roman" w:hAnsi="Arial" w:cs="Arial"/>
          <w:color w:val="auto"/>
          <w:sz w:val="24"/>
          <w:szCs w:val="24"/>
          <w:lang w:val="es-MX" w:eastAsia="es-MX"/>
        </w:rPr>
        <w:t>Systems</w:t>
      </w:r>
      <w:proofErr w:type="spellEnd"/>
      <w:r w:rsidRPr="00FC359F">
        <w:rPr>
          <w:rFonts w:ascii="Arial" w:eastAsia="Times New Roman" w:hAnsi="Arial" w:cs="Arial"/>
          <w:color w:val="auto"/>
          <w:sz w:val="24"/>
          <w:szCs w:val="24"/>
          <w:lang w:val="es-MX" w:eastAsia="es-MX"/>
        </w:rPr>
        <w:t xml:space="preserve"> (OJS), se ha incorporado la publicación de los primeros 7 números de la nueva época. En 2015 se consolido el uso de la plataforma como gestor editorial de la revista y publicaron los números 8 y 9. En 2016 se publicaran tres números y en 2017 se consolidó la aplicación de OJS un estándar mundial de software libre. Se espera en 2018 incorporar a este gestor el histórico de la revista.</w:t>
      </w:r>
      <w:r w:rsidRPr="00FC359F">
        <w:rPr>
          <w:rFonts w:ascii="Arial" w:eastAsia="Times New Roman" w:hAnsi="Arial" w:cs="Arial"/>
          <w:color w:val="0070C0"/>
          <w:sz w:val="24"/>
          <w:szCs w:val="24"/>
          <w:lang w:val="es-MX" w:eastAsia="es-MX"/>
        </w:rPr>
        <w:t xml:space="preserve"> </w:t>
      </w:r>
      <w:r w:rsidRPr="00FC359F">
        <w:rPr>
          <w:rFonts w:ascii="Arial" w:eastAsia="Times New Roman" w:hAnsi="Arial" w:cs="Arial"/>
          <w:color w:val="auto"/>
          <w:sz w:val="24"/>
          <w:szCs w:val="24"/>
          <w:lang w:val="es-MX" w:eastAsia="es-MX"/>
        </w:rPr>
        <w:t xml:space="preserve">Para el año 2018 se pondrá en operación y funcionamiento un software de uso libre cuya función es servir como gestor de publicaciones editoriales. (Open </w:t>
      </w:r>
      <w:proofErr w:type="spellStart"/>
      <w:r w:rsidRPr="00FC359F">
        <w:rPr>
          <w:rFonts w:ascii="Arial" w:eastAsia="Times New Roman" w:hAnsi="Arial" w:cs="Arial"/>
          <w:color w:val="auto"/>
          <w:sz w:val="24"/>
          <w:szCs w:val="24"/>
          <w:lang w:val="es-MX" w:eastAsia="es-MX"/>
        </w:rPr>
        <w:t>Monograph</w:t>
      </w:r>
      <w:proofErr w:type="spellEnd"/>
      <w:r w:rsidRPr="00FC359F">
        <w:rPr>
          <w:rFonts w:ascii="Arial" w:eastAsia="Times New Roman" w:hAnsi="Arial" w:cs="Arial"/>
          <w:color w:val="auto"/>
          <w:sz w:val="24"/>
          <w:szCs w:val="24"/>
          <w:lang w:val="es-MX" w:eastAsia="es-MX"/>
        </w:rPr>
        <w:t xml:space="preserve"> </w:t>
      </w:r>
      <w:proofErr w:type="spellStart"/>
      <w:r w:rsidRPr="00FC359F">
        <w:rPr>
          <w:rFonts w:ascii="Arial" w:eastAsia="Times New Roman" w:hAnsi="Arial" w:cs="Arial"/>
          <w:color w:val="auto"/>
          <w:sz w:val="24"/>
          <w:szCs w:val="24"/>
          <w:lang w:val="es-MX" w:eastAsia="es-MX"/>
        </w:rPr>
        <w:t>Press</w:t>
      </w:r>
      <w:proofErr w:type="spellEnd"/>
      <w:r w:rsidRPr="00FC359F">
        <w:rPr>
          <w:rFonts w:ascii="Arial" w:eastAsia="Times New Roman" w:hAnsi="Arial" w:cs="Arial"/>
          <w:color w:val="auto"/>
          <w:sz w:val="24"/>
          <w:szCs w:val="24"/>
          <w:lang w:val="es-MX" w:eastAsia="es-MX"/>
        </w:rPr>
        <w:t xml:space="preserve">). Es importante mencionar que esta aplicación funciona en plataforma web, lo que aporta mayor eficiencia es su utilización.  </w:t>
      </w:r>
    </w:p>
    <w:p w:rsidR="00FC359F" w:rsidRPr="00FC359F" w:rsidRDefault="00FC359F" w:rsidP="00FC359F">
      <w:pPr>
        <w:autoSpaceDE w:val="0"/>
        <w:autoSpaceDN w:val="0"/>
        <w:spacing w:after="0" w:line="276" w:lineRule="auto"/>
        <w:jc w:val="both"/>
        <w:rPr>
          <w:rFonts w:ascii="Arial" w:eastAsia="Times New Roman" w:hAnsi="Arial" w:cs="Arial"/>
          <w:color w:val="auto"/>
          <w:sz w:val="22"/>
          <w:szCs w:val="22"/>
          <w:lang w:val="es-MX" w:eastAsia="es-MX"/>
        </w:rPr>
      </w:pP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En el año 2017 se continuó con la operación de repositorio digital institucional, de acuerdo a las políticas establecidas el repositorio cumple con la interoperabilidad con el repositorio digital nacional, la aplicación que se utiliza es DSPACE. Este repositorio cuenta con la información y los resultados que se generan como productos académicos de los profesores investigadores y de los estudiantes. En 2018 se continuará con la estrategia de consolidación de la política datos abiertos.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5A3. Comunicación en Medios Electrónicos. Crear proyectos vinculados a la ciencia y a la tecnología que ofrezcan contenidos para nuevas plataformas y facilitar el acceso público a las tecnologías de la información y comunicación.</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A partir del año 2014 se han realizado cambios sustanciales de alto impacto a la página electrónica institucional. Se ha estandarizado la información de los programas Docentes y de los Programas de Investigación. Se ha creado un carrusel en la página principal de alto impacto, siguiendo los lineamientos de la CIDGE (Comisión Intersecretarial para el Desarrollo del Gobierno Electrónico). Para 2015, los contenidos de la página se mantuvieron actualizados y se incorporó nueva tecnología que permite el acceso desde dispositivos móviles. El trabajo de actualización de este medio de comunicación es permanente por lo que se tiene </w:t>
      </w:r>
      <w:r w:rsidRPr="00FC359F">
        <w:rPr>
          <w:rFonts w:ascii="Arial" w:eastAsia="Times New Roman" w:hAnsi="Arial" w:cs="Arial"/>
          <w:color w:val="auto"/>
          <w:sz w:val="24"/>
          <w:szCs w:val="24"/>
          <w:lang w:val="es-MX" w:eastAsia="es-MX"/>
        </w:rPr>
        <w:lastRenderedPageBreak/>
        <w:t xml:space="preserve">previsto continuar con los trabajos de actualización e incorporación de nuevas herramientas tecnológica. Para el año 2018 se consolidará la colaboración con el Centro Nacional de </w:t>
      </w:r>
      <w:proofErr w:type="spellStart"/>
      <w:r w:rsidRPr="00FC359F">
        <w:rPr>
          <w:rFonts w:ascii="Arial" w:eastAsia="Times New Roman" w:hAnsi="Arial" w:cs="Arial"/>
          <w:color w:val="auto"/>
          <w:sz w:val="24"/>
          <w:szCs w:val="24"/>
          <w:lang w:val="es-MX" w:eastAsia="es-MX"/>
        </w:rPr>
        <w:t>Supercómputo</w:t>
      </w:r>
      <w:proofErr w:type="spellEnd"/>
      <w:r w:rsidRPr="00FC359F">
        <w:rPr>
          <w:rFonts w:ascii="Arial" w:eastAsia="Times New Roman" w:hAnsi="Arial" w:cs="Arial"/>
          <w:color w:val="auto"/>
          <w:sz w:val="24"/>
          <w:szCs w:val="24"/>
          <w:lang w:val="es-MX" w:eastAsia="es-MX"/>
        </w:rPr>
        <w:t xml:space="preserve"> del IPICYT quien mediante un acuerdo de colaboración institucional brindará apoyo y servicios de alta tecnología a la institución. Actualmente se cuenta con un sistema de respaldos proporcionados por el CNS y acceso a la nube privada, servicios que se mantendrán operando en el año 2018.  </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Estrategia 5B</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i/>
          <w:color w:val="auto"/>
          <w:sz w:val="24"/>
          <w:szCs w:val="24"/>
          <w:u w:val="single"/>
          <w:lang w:val="es-MX" w:eastAsia="es-MX"/>
        </w:rPr>
        <w:t>Desarrollar aplicaciones de apoyo a los programas docentes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5B1. Aplicaciones de software. Garantizar los procesos de docencia mediante el uso y aplicación de nuevas tecnologías.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Durante 2017 se mantuvo la utilización de diversas aplicaciones que facilitan la elaboración de contenidos de los cursos en línea.</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Desde 2015 se utiliza la aplicación </w:t>
      </w:r>
      <w:proofErr w:type="spellStart"/>
      <w:r w:rsidRPr="00FC359F">
        <w:rPr>
          <w:rFonts w:ascii="Arial" w:eastAsia="Times New Roman" w:hAnsi="Arial" w:cs="Arial"/>
          <w:color w:val="auto"/>
          <w:sz w:val="24"/>
          <w:szCs w:val="24"/>
          <w:lang w:val="es-MX" w:eastAsia="es-MX"/>
        </w:rPr>
        <w:t>TurnItIn</w:t>
      </w:r>
      <w:proofErr w:type="spellEnd"/>
      <w:r w:rsidRPr="00FC359F">
        <w:rPr>
          <w:rFonts w:ascii="Arial" w:eastAsia="Times New Roman" w:hAnsi="Arial" w:cs="Arial"/>
          <w:color w:val="auto"/>
          <w:sz w:val="24"/>
          <w:szCs w:val="24"/>
          <w:lang w:val="es-MX" w:eastAsia="es-MX"/>
        </w:rPr>
        <w:t xml:space="preserve"> (aplicación para validar en línea la originalidad de los documentos como: libros, tareas, artículos y tesis), un importante porcentaje de los profesores-investigadores lo están utilizando de manera cotidiana, por lo que se planea que en 2018 el 100% de los profesores-investigadores utilizan esta herramienta. En esta plataforma los estudiantes registran sus tareas, artículos y tesis y los profesores investigadores los evalúan. Para el año 2018, se tiene planeado consolidar el uso de estas herramientas e incorporar nuevas aplicaciones que ayuden a estimular y garantizar la calidad de los contenidos de los cursos y documentos.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El Consejo Editorial inició en 2015 la validación de los libros electrónicos con la herramienta </w:t>
      </w:r>
      <w:proofErr w:type="spellStart"/>
      <w:r w:rsidRPr="00FC359F">
        <w:rPr>
          <w:rFonts w:ascii="Arial" w:eastAsia="Times New Roman" w:hAnsi="Arial" w:cs="Arial"/>
          <w:color w:val="auto"/>
          <w:sz w:val="24"/>
          <w:szCs w:val="24"/>
          <w:lang w:val="es-MX" w:eastAsia="es-MX"/>
        </w:rPr>
        <w:t>TurnItIn</w:t>
      </w:r>
      <w:proofErr w:type="spellEnd"/>
      <w:r w:rsidRPr="00FC359F">
        <w:rPr>
          <w:rFonts w:ascii="Arial" w:eastAsia="Times New Roman" w:hAnsi="Arial" w:cs="Arial"/>
          <w:color w:val="auto"/>
          <w:sz w:val="24"/>
          <w:szCs w:val="24"/>
          <w:lang w:val="es-MX" w:eastAsia="es-MX"/>
        </w:rPr>
        <w:t xml:space="preserve"> estrategia que seguirá aplicándose en 2018. Esta herramienta se utiliza también para verificar los artículos recibidos en la Revista de El Colegio de San Luis.</w:t>
      </w:r>
    </w:p>
    <w:p w:rsidR="00FC359F" w:rsidRPr="00FC359F" w:rsidRDefault="00FC359F" w:rsidP="00FC359F">
      <w:pPr>
        <w:autoSpaceDE w:val="0"/>
        <w:autoSpaceDN w:val="0"/>
        <w:adjustRightInd w:val="0"/>
        <w:spacing w:after="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En el segundo semestre del año se puso en operación el Sistema Integral de Planeación y Administración Escolar (SIPAE), sistema web que facilita la administración de la trayectoria escolar de los estudiantes, desde su ingreso a El Colegio hasta su egreso. Se espera que el sistema consolide su operación en el año 2017 y a partir del año 2018 se logre la estabilidad del sistema y se incorporen mejoras. </w:t>
      </w:r>
    </w:p>
    <w:p w:rsidR="00FC359F" w:rsidRPr="00FC359F" w:rsidRDefault="00FC359F" w:rsidP="00FC359F">
      <w:pPr>
        <w:autoSpaceDE w:val="0"/>
        <w:autoSpaceDN w:val="0"/>
        <w:adjustRightInd w:val="0"/>
        <w:spacing w:after="0" w:line="276" w:lineRule="auto"/>
        <w:jc w:val="both"/>
        <w:rPr>
          <w:rFonts w:ascii="Arial" w:eastAsia="Times New Roman" w:hAnsi="Arial" w:cs="Arial"/>
          <w:color w:val="auto"/>
          <w:sz w:val="24"/>
          <w:szCs w:val="24"/>
          <w:lang w:val="es-MX" w:eastAsia="es-MX"/>
        </w:rPr>
      </w:pP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5B2. Programa de equipamiento. Equipar con infraestructura tecnológica actualizada los espacios destinados a docencia.</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lastRenderedPageBreak/>
        <w:t>En el último trimestre de 2014 se realizó el estudio de factibilidad para el arrendamiento de equipo de cómputo para renovar el equipo de las áreas sustantivas de El Colegio. Con esta medida a inicio del 2015 fue posible sustituir y actualizar el 60% del equipo de cómputo. Durante 2016 el proyecto continúo desarrollándose hasta alcanzar un 80% de los equipos actualizados evitando de esta manera la obsolescencia de la infraestructura de cómputo y comunicaciones. Por tratarse de una actividad permanente durante 2017 la estrategia se mantendrá vigente hasta alcanzar una efectividad del 100% de equipos actualizados. Para 2018 se estima que la totalidad de los equipos se encuentren actualizados desde el punto de vista tecnológico.</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5B3. Extensión y Formación a Distancia. Impulsar el uso de herramientas tecnológicas para la formación de recursos humanos.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El Colegio cuenta con 3 salas de videoconferencias con equipo de sonido profesional y </w:t>
      </w:r>
      <w:proofErr w:type="spellStart"/>
      <w:r w:rsidRPr="00FC359F">
        <w:rPr>
          <w:rFonts w:ascii="Arial" w:eastAsia="Times New Roman" w:hAnsi="Arial" w:cs="Arial"/>
          <w:color w:val="auto"/>
          <w:sz w:val="24"/>
          <w:szCs w:val="24"/>
          <w:lang w:val="es-MX" w:eastAsia="es-MX"/>
        </w:rPr>
        <w:t>SmartTVs</w:t>
      </w:r>
      <w:proofErr w:type="spellEnd"/>
      <w:r w:rsidRPr="00FC359F">
        <w:rPr>
          <w:rFonts w:ascii="Arial" w:eastAsia="Times New Roman" w:hAnsi="Arial" w:cs="Arial"/>
          <w:color w:val="auto"/>
          <w:sz w:val="24"/>
          <w:szCs w:val="24"/>
          <w:lang w:val="es-MX" w:eastAsia="es-MX"/>
        </w:rPr>
        <w:t xml:space="preserve"> para mejorar la calidad del servicio.  El uso de las salas de videoconferencia se ha incrementado de 31% a 54% de la capacidad disponible. Las Salas de Videoconferencia operan en turnos de 12 horas continuas. Una muestra del éxito en el uso de este medio es la trasmisión de actividades académicas, la realización de exámenes de grado y evaluación de los avances de tesis de los estudiantes. En el año 2018 se continuará operando de manera dinámica con este medio y se promoverá incrementar el uso de esta tecnología en la comunidad con el objeto de hacer eficiente la comunicación por medios a distancia.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Para el año 2018, se estima que la ocupación de estas salas alcance una demanda del 90% por lo que su operación se complementará con la habilitación y equipamiento de nuevos espacios ubicados en las nuevas instalaciones de la Biblioteca, del Centro de Documentación y de las Salas Públicas.</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 xml:space="preserve">Estrategia 5C </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i/>
          <w:color w:val="auto"/>
          <w:sz w:val="24"/>
          <w:szCs w:val="24"/>
          <w:u w:val="single"/>
          <w:lang w:val="es-MX" w:eastAsia="es-MX"/>
        </w:rPr>
        <w:t>Desarrollar aplicaciones de apoyo para el seguimiento de estudiantes y egresados.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5C1. Sistema de seguimiento de egresados y estudiantes. Contar con un sistema de información confiable, suficiente y válida de los estudiantes y egresados y su inserción en el mercado laboral.</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En 2014 se iniciaron los trabajos de implementación de 5 servicios al CNTSE (Catálogo Nacional de Trámites y Servicios del Estado), uno de los trámites es el relacionado con el área de Vinculación para darle seguimiento a los egresados de El Colegio. En el año 2016 la Dirección de Vinculación aplicó la primera encuesta </w:t>
      </w:r>
      <w:r w:rsidRPr="00FC359F">
        <w:rPr>
          <w:rFonts w:ascii="Arial" w:eastAsia="Times New Roman" w:hAnsi="Arial" w:cs="Arial"/>
          <w:color w:val="auto"/>
          <w:sz w:val="24"/>
          <w:szCs w:val="24"/>
          <w:lang w:val="es-MX" w:eastAsia="es-MX"/>
        </w:rPr>
        <w:lastRenderedPageBreak/>
        <w:t>para el seguimiento de egresados y su ubicación en el mercado laboral. En 2017 el sistema debe de estar operando de manera regular. Para el año 2018 se tiene previsto realizar ajustes en la aplicación utilizada e incorporar mejoras para obtener información de calidad.</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5C2. Acceso a fuentes de información digitales. Aumentar el uso de internet y el acceso a bases de datos e información especializada en las áreas de información.</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El Colegio cuenta con el apoyo del CONRICYT (Consorcio Nacional de Recursos de Información Científica y Tecnológica) para el acceso a un mayor número de bases de datos, que están disponibles en la página de la Biblioteca </w:t>
      </w:r>
      <w:hyperlink r:id="rId13" w:history="1">
        <w:r w:rsidRPr="00FC359F">
          <w:rPr>
            <w:rFonts w:ascii="Arial" w:eastAsia="Times New Roman" w:hAnsi="Arial" w:cs="Arial"/>
            <w:color w:val="0000FF"/>
            <w:sz w:val="24"/>
            <w:szCs w:val="24"/>
            <w:u w:val="single"/>
            <w:lang w:val="es-MX" w:eastAsia="es-MX"/>
          </w:rPr>
          <w:t>http://biblio.colsan.edu.mx/</w:t>
        </w:r>
      </w:hyperlink>
      <w:r w:rsidRPr="00FC359F">
        <w:rPr>
          <w:rFonts w:ascii="Arial" w:eastAsia="Times New Roman" w:hAnsi="Arial" w:cs="Arial"/>
          <w:color w:val="auto"/>
          <w:sz w:val="24"/>
          <w:szCs w:val="24"/>
          <w:lang w:val="es-MX" w:eastAsia="es-MX"/>
        </w:rPr>
        <w:t xml:space="preserve">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Además, a partir del año 2014 se implementó el protocolo de comunicación z.3950 del sistema Bibliotecario ALEPHINO, lo que permite una conexión directa con otras bibliotecas como la Librería del Congreso de los Estados Unidos, El Colegio de México, El Instituto Mora, el Centro de Investigación y Docencia Económica, entre otros.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En el año 2015, se mantuvo de manera permanente y continua la prestación de estos servicios y se inició la evaluación para migrar el sistema de biblioteca. De acuerdo a las políticas establecidas el repositorio institucional inició su operación lo que permitió en 2017 entregar los primeros resultados. Se considera que 2018 será el año clave para consolidar la participación de El Colegio en la política de datos abiertos.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Proyecto 5C3. </w:t>
      </w:r>
      <w:proofErr w:type="spellStart"/>
      <w:r w:rsidRPr="00FC359F">
        <w:rPr>
          <w:rFonts w:ascii="Arial" w:eastAsia="Times New Roman" w:hAnsi="Arial" w:cs="Arial"/>
          <w:color w:val="auto"/>
          <w:sz w:val="24"/>
          <w:szCs w:val="24"/>
          <w:lang w:val="es-MX" w:eastAsia="es-MX"/>
        </w:rPr>
        <w:t>TIC´s</w:t>
      </w:r>
      <w:proofErr w:type="spellEnd"/>
      <w:r w:rsidRPr="00FC359F">
        <w:rPr>
          <w:rFonts w:ascii="Arial" w:eastAsia="Times New Roman" w:hAnsi="Arial" w:cs="Arial"/>
          <w:color w:val="auto"/>
          <w:sz w:val="24"/>
          <w:szCs w:val="24"/>
          <w:lang w:val="es-MX" w:eastAsia="es-MX"/>
        </w:rPr>
        <w:t xml:space="preserve">. para la docencia. Proporcionar las herramientas que faciliten el acceso de los estudiantes a nuevos métodos de educación y formación académica.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A partir del año 2015 se realizó la migración de aplicación Moodle a la última versión disponible para elaborar los contenidos de los cursos en línea y de manera complementaria se inició la implementación con un grupo de profesores investigadores de la aplicación </w:t>
      </w:r>
      <w:proofErr w:type="spellStart"/>
      <w:r w:rsidRPr="00FC359F">
        <w:rPr>
          <w:rFonts w:ascii="Arial" w:eastAsia="Times New Roman" w:hAnsi="Arial" w:cs="Arial"/>
          <w:color w:val="auto"/>
          <w:sz w:val="24"/>
          <w:szCs w:val="24"/>
          <w:lang w:val="es-MX" w:eastAsia="es-MX"/>
        </w:rPr>
        <w:t>TurnItIn</w:t>
      </w:r>
      <w:proofErr w:type="spellEnd"/>
      <w:r w:rsidRPr="00FC359F">
        <w:rPr>
          <w:rFonts w:ascii="Arial" w:eastAsia="Times New Roman" w:hAnsi="Arial" w:cs="Arial"/>
          <w:color w:val="auto"/>
          <w:sz w:val="24"/>
          <w:szCs w:val="24"/>
          <w:lang w:val="es-MX" w:eastAsia="es-MX"/>
        </w:rPr>
        <w:t xml:space="preserve"> (aplicación para validar en línea la originalidad de los documentos como: tareas, artículos y tesis).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En el año 2015 se concluyó la instalación de la nueva infraestructura de la red inalámbrica para pasar a una red con mayor capacidad y cobertura que facilita el uso de dispositivos móviles en la institución. A partir de este año (2016) la nueva red inalámbrica se encuentra operando de manera estable y continua por lo que los usuarios, principalmente, estudiantes y profesores tienen acceso a la red desde </w:t>
      </w:r>
      <w:r w:rsidRPr="00FC359F">
        <w:rPr>
          <w:rFonts w:ascii="Arial" w:eastAsia="Times New Roman" w:hAnsi="Arial" w:cs="Arial"/>
          <w:color w:val="auto"/>
          <w:sz w:val="24"/>
          <w:szCs w:val="24"/>
          <w:lang w:val="es-MX" w:eastAsia="es-MX"/>
        </w:rPr>
        <w:lastRenderedPageBreak/>
        <w:t>cualquiera de los puntos en que se ubiquen en las instalaciones de El Colegio. Para 2018 se buscará elevar el nivel de servicios proporcionados por la UTI a los usuarios.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En el año 2018 se evaluará la viabilidad de contratar un enlace dedicado de Internet para cubrir las necesidades de navegación en la red, de los profesores y estudiantes así como consolidar el apoyo para el respaldo de información, alojamiento de datos y desarrollo de nuevas aplicaciones en colaboración con el Centro Nacional de </w:t>
      </w:r>
      <w:proofErr w:type="spellStart"/>
      <w:r w:rsidRPr="00FC359F">
        <w:rPr>
          <w:rFonts w:ascii="Arial" w:eastAsia="Times New Roman" w:hAnsi="Arial" w:cs="Arial"/>
          <w:color w:val="auto"/>
          <w:sz w:val="24"/>
          <w:szCs w:val="24"/>
          <w:lang w:val="es-MX" w:eastAsia="es-MX"/>
        </w:rPr>
        <w:t>Supercómputo</w:t>
      </w:r>
      <w:proofErr w:type="spellEnd"/>
      <w:r w:rsidRPr="00FC359F">
        <w:rPr>
          <w:rFonts w:ascii="Arial" w:eastAsia="Times New Roman" w:hAnsi="Arial" w:cs="Arial"/>
          <w:color w:val="auto"/>
          <w:sz w:val="24"/>
          <w:szCs w:val="24"/>
          <w:lang w:val="es-MX" w:eastAsia="es-MX"/>
        </w:rPr>
        <w:t>.</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Estrategia 5D</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i/>
          <w:color w:val="auto"/>
          <w:sz w:val="24"/>
          <w:szCs w:val="24"/>
          <w:u w:val="single"/>
          <w:lang w:val="es-MX" w:eastAsia="es-MX"/>
        </w:rPr>
        <w:t>Capacitar a los usuarios en el uso y aprovechamiento de tecnologías de información de procesos y tecnologías superiores.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5D1. Nuevas tecnologías. Promover el uso, conocimiento, aplicación y aprovechamiento de las nuevas tecnologías.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Se incorporó el uso de un mensajero institucional “Lync” para incrementar la productividad y se amplió el internet dedicado de 2MB a 20MB. Se han impulsado las videoconferencias por Skype y se asignaron cámaras a las computadoras de los profesores-investigadores. Se adquirió un número importante de licencias de software para el laboratorio académico y se amplió la capacidad de los buzones de correo electrónico en un 200% en promedio. A partir del año 2015 se incorporó el uso de </w:t>
      </w:r>
      <w:proofErr w:type="spellStart"/>
      <w:r w:rsidRPr="00FC359F">
        <w:rPr>
          <w:rFonts w:ascii="Arial" w:eastAsia="Times New Roman" w:hAnsi="Arial" w:cs="Arial"/>
          <w:color w:val="auto"/>
          <w:sz w:val="24"/>
          <w:szCs w:val="24"/>
          <w:lang w:val="es-MX" w:eastAsia="es-MX"/>
        </w:rPr>
        <w:t>Bluejeans</w:t>
      </w:r>
      <w:proofErr w:type="spellEnd"/>
      <w:r w:rsidRPr="00FC359F">
        <w:rPr>
          <w:rFonts w:ascii="Arial" w:eastAsia="Times New Roman" w:hAnsi="Arial" w:cs="Arial"/>
          <w:color w:val="auto"/>
          <w:sz w:val="24"/>
          <w:szCs w:val="24"/>
          <w:lang w:val="es-MX" w:eastAsia="es-MX"/>
        </w:rPr>
        <w:t xml:space="preserve"> y el uso de pantallas interactivas con nuevos equipos de videoconferencias. Para 2018 se mantendrán en operación estos servicios y se incorporará el acceso a las videoconferencias desde dispositivos móviles.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5D2. Red de Banda Ancha. Impulsar el uso de la Red para integrarse a la red Nacional de Impulso a la Banda Ancha. (RED NIBA).</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En el año 2014 se realizaron todas las actividades necesarias para recibir la red NIBA con un ancho de banda de 1024 Mbps. En este proceso, El Colegio fue el 4° Centro Público de Investigación CONACYT en realizar las primeras pruebas de la red NIBA. 2015. Esta acción permitió cumplir con los compromisos adquiridos por la institución en el impulso a la Estrategia Digital Nacional mediante la participación institucional en importantes proyectos estratégicos. Para el año 2016 la operación de la Red es estable y se trabaja para consolidar la operación de la red y alcanzar las velocidades de trasmisión que originalmente fueron planteadas. 2018 será el año que permita evaluar con mayor precisión los alcances cobertura del proyecto.</w:t>
      </w:r>
    </w:p>
    <w:p w:rsidR="00F80788" w:rsidRDefault="00F80788" w:rsidP="00FC359F">
      <w:pPr>
        <w:spacing w:after="200" w:line="276" w:lineRule="auto"/>
        <w:jc w:val="both"/>
        <w:rPr>
          <w:rFonts w:ascii="Arial" w:eastAsia="Times New Roman" w:hAnsi="Arial" w:cs="Arial"/>
          <w:b/>
          <w:color w:val="auto"/>
          <w:sz w:val="24"/>
          <w:szCs w:val="24"/>
          <w:lang w:val="es-MX" w:eastAsia="es-MX"/>
        </w:rPr>
      </w:pP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lastRenderedPageBreak/>
        <w:t>Estrategia 5E</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i/>
          <w:color w:val="auto"/>
          <w:sz w:val="24"/>
          <w:szCs w:val="24"/>
          <w:u w:val="single"/>
          <w:lang w:val="es-MX" w:eastAsia="es-MX"/>
        </w:rPr>
        <w:t>Contribuir a la estrategia digital nacional.</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5E1. Desarrollo e Innovación Tecnológica. Asumir la estrategia digital nacional mediante la adopción y desarrollo de las tecnologías de la información y la comunicación e incorporarse a la sociedad del conocimiento.</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Para el año 2015 se evaluaron diversos aplicativos para gestionar el repositorio digital institucional y de esa manera se cumple con los estándares de interoperabilidad con el repositorio digital nacional. Este repositorio cuenta con información y resultados que se generan como productos académicos de los profesores investigadores y de los estudiantes.  En los años 2016- 2017 se implementó la operación y funcionamiento del repositorio digital institucional y se impulsó el acceso a datos abiertos. En 2018 se espera que estas estrategias alcancen el óptimo de su funcionamiento.</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5E2. Infraestructura disponible y actualizada. Contribuir al equipamiento de los espacios con medios de acceso público a tecnologías de información.</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El Colegio cuenta con equipo de cómputo e instalaciones de acceso a tecnologías de información: computadoras, video, proyectores, impresoras, servidores, equipos de videoconferencia, enlaces de internet dedicados, escáner, microfilms y licenciamientos actualizados. Por esta razón, para el año 2018 es necesario mantener la inversión necesaria para garantizar los servicios que prestan a la comunidad y renovar gradualmente la plataforma tecnológica. </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Estrategia 5F</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i/>
          <w:color w:val="auto"/>
          <w:sz w:val="24"/>
          <w:szCs w:val="24"/>
          <w:u w:val="single"/>
          <w:lang w:val="es-MX" w:eastAsia="es-MX"/>
        </w:rPr>
        <w:t>Adquirir e implementar software especializado.</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5F1. Desarrollo de aplicaciones informáticas. Modernizar y actualizar las aplicaciones informáticas que se utilizan en los laboratorios académicos, biblioteca, centro de documentación, administración académica, administración escolar y áreas de gestión institucional.</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Las aplicaciones y el software que se utiliza en la institución requiere de los recursos financieros necesarios que permitan mantener vigentes las licencias de uso así como la incorporación de nuevas aplicaciones. Todas las licencias se renuevan anualmente por lo que esta será una actividad permanente y se mantendrá en 2018.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5F2. Programa de Inversión Permanente. Asegurar la inversión de recursos necesarios para actualizar la plataforma tecnológica.</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lastRenderedPageBreak/>
        <w:t>En 2018 se debe garantizar la inversión destinada a la adquisición o arrendamiento de bienes informáticos. Actualmente, se requiere renovar por lo menos el 20% del equipo de cómputo del usuario final cuya antigüedad es de 8 años o más, por lo que en el año 2018 deberán concretarse las acciones que permitan cumplir con los compromisos establecidos y alcanzar la meta del 100% de los equipos actualizados.</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Estrategia 5G</w:t>
      </w:r>
    </w:p>
    <w:p w:rsidR="00FC359F" w:rsidRPr="00FC359F" w:rsidRDefault="00FC359F" w:rsidP="00FC359F">
      <w:pPr>
        <w:spacing w:after="200" w:line="276" w:lineRule="auto"/>
        <w:jc w:val="both"/>
        <w:rPr>
          <w:rFonts w:ascii="Arial" w:eastAsia="Times New Roman" w:hAnsi="Arial" w:cs="Arial"/>
          <w:i/>
          <w:color w:val="auto"/>
          <w:sz w:val="24"/>
          <w:szCs w:val="24"/>
          <w:u w:val="single"/>
          <w:lang w:val="es-MX" w:eastAsia="es-MX"/>
        </w:rPr>
      </w:pPr>
      <w:r w:rsidRPr="00FC359F">
        <w:rPr>
          <w:rFonts w:ascii="Arial" w:eastAsia="Times New Roman" w:hAnsi="Arial" w:cs="Arial"/>
          <w:i/>
          <w:color w:val="auto"/>
          <w:sz w:val="24"/>
          <w:szCs w:val="24"/>
          <w:u w:val="single"/>
          <w:lang w:val="es-MX" w:eastAsia="es-MX"/>
        </w:rPr>
        <w:t>Impulsar el uso de tecnologías de información en los procesos de transferencia de conocimientos.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5G1. Acceso Global al Conocimiento Científico. Utilizar nuevas tecnologías de información en la trasmisión masiva del conocimiento científico.</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Los profesores-investigadores cuentan con la infraestructura física y el equipo necesario para la trasmisión de conocimientos, se utiliza un enlace de internet dedicado que incluye el acceso al internet comercial y al internet 2. Para 2018, se espera que la RED NIBA se consolide y se facilite el acceso de la comunidad al internet y las aplicaciones disponibles que faciliten la transferencia del conocimiento. El reto para 2018, es proporcionar los servicios de manera continua de manera que los procesos y los medios para la transferencia de conocimientos sean estables y eficientes. Para 2018 se prevé consolidar el equipamiento de un laboratorio académico con software dedicado a Sistemas de Información Geográfica.</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Proyecto 5G2. Desarrollo de habilidades tecnológicas. Estimular la participación de los profesores investigadores en el uso y aplicación de tecnologías de vanguardia para mejorar el desempeño docente y de la investigación en los procesos de difusión del conocimiento.</w:t>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color w:val="auto"/>
          <w:sz w:val="24"/>
          <w:szCs w:val="24"/>
          <w:lang w:val="es-MX" w:eastAsia="es-MX"/>
        </w:rPr>
        <w:t xml:space="preserve">Los profesores-investigadores incrementan sus habilidades usando: Moodle, </w:t>
      </w:r>
      <w:proofErr w:type="spellStart"/>
      <w:r w:rsidRPr="00FC359F">
        <w:rPr>
          <w:rFonts w:ascii="Arial" w:eastAsia="Times New Roman" w:hAnsi="Arial" w:cs="Arial"/>
          <w:color w:val="auto"/>
          <w:sz w:val="24"/>
          <w:szCs w:val="24"/>
          <w:lang w:val="es-MX" w:eastAsia="es-MX"/>
        </w:rPr>
        <w:t>TurnitIn</w:t>
      </w:r>
      <w:proofErr w:type="spellEnd"/>
      <w:r w:rsidRPr="00FC359F">
        <w:rPr>
          <w:rFonts w:ascii="Arial" w:eastAsia="Times New Roman" w:hAnsi="Arial" w:cs="Arial"/>
          <w:color w:val="auto"/>
          <w:sz w:val="24"/>
          <w:szCs w:val="24"/>
          <w:lang w:val="es-MX" w:eastAsia="es-MX"/>
        </w:rPr>
        <w:t xml:space="preserve">, Internet comercial e Internet 2. Además de todo el licenciamiento disponible en El Colegio. Para el 2018, se propone continuar y consolidar el uso intensivo de estas y de nuevas aplicaciones.  </w:t>
      </w:r>
      <w:r w:rsidRPr="00FC359F">
        <w:rPr>
          <w:rFonts w:ascii="Arial" w:eastAsia="Times New Roman" w:hAnsi="Arial" w:cs="Arial"/>
          <w:b/>
          <w:color w:val="auto"/>
          <w:sz w:val="24"/>
          <w:szCs w:val="24"/>
          <w:lang w:val="es-MX" w:eastAsia="es-MX"/>
        </w:rPr>
        <w:br w:type="page"/>
      </w: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p>
    <w:p w:rsidR="00FC359F" w:rsidRPr="00FC359F" w:rsidRDefault="00FC359F" w:rsidP="00FC359F">
      <w:pPr>
        <w:spacing w:after="200" w:line="276" w:lineRule="auto"/>
        <w:jc w:val="both"/>
        <w:rPr>
          <w:rFonts w:ascii="Arial" w:eastAsia="Times New Roman" w:hAnsi="Arial" w:cs="Arial"/>
          <w:b/>
          <w:color w:val="auto"/>
          <w:sz w:val="24"/>
          <w:szCs w:val="24"/>
          <w:lang w:val="es-MX" w:eastAsia="es-MX"/>
        </w:rPr>
      </w:pPr>
      <w:r w:rsidRPr="00FC359F">
        <w:rPr>
          <w:rFonts w:ascii="Arial" w:eastAsia="Times New Roman" w:hAnsi="Arial" w:cs="Arial"/>
          <w:b/>
          <w:color w:val="auto"/>
          <w:sz w:val="24"/>
          <w:szCs w:val="24"/>
          <w:lang w:val="es-MX" w:eastAsia="es-MX"/>
        </w:rPr>
        <w:t>PRESUPUESTO</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Los cinco objetivos estratégicos y sus proyectos, continuarán desarrollándose a lo largo del año 2018. La estimación de recursos presupuestarios para su realización se plasma en el proyecto de presupuesto presentado para su aprobación por H. Cámara de Diputados a través de la Coordinadora Sectorial y de la Secretaría de Hacienda y Crédito Público y se espera que la aprobación definitiva del presupuesto 2018 permita dar continuidad a las acciones planteadas en este programa.</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Para la ejecución del Programa de Trabajo 2018 se estima que El Colegio de San Luis ejercerá un presupuesto original de </w:t>
      </w:r>
      <w:r w:rsidRPr="00FC359F">
        <w:rPr>
          <w:rFonts w:ascii="Arial" w:eastAsia="Times New Roman" w:hAnsi="Arial" w:cs="Arial"/>
          <w:b/>
          <w:color w:val="auto"/>
          <w:sz w:val="24"/>
          <w:szCs w:val="24"/>
          <w:lang w:val="es-MX" w:eastAsia="es-MX"/>
        </w:rPr>
        <w:t>116.0 miles de pesos</w:t>
      </w:r>
      <w:r w:rsidRPr="00FC359F">
        <w:rPr>
          <w:rFonts w:ascii="Arial" w:eastAsia="Times New Roman" w:hAnsi="Arial" w:cs="Arial"/>
          <w:color w:val="auto"/>
          <w:sz w:val="24"/>
          <w:szCs w:val="24"/>
          <w:lang w:val="es-MX" w:eastAsia="es-MX"/>
        </w:rPr>
        <w:t>, distribuidos a través de tres programas presupuestarios: Actividades de la Función Pública (O); Servicios de Apoyo Administrativo (M); Investigación Científica, Desarrollo e Innovación (E003).</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En las condiciones actuales se espera que el 80% del presupuesto total, se destine a actividades de Investigación Científica, Social y/o Humanística, 9% a la Formación de Recursos Humanos, 6% a Administración y Gestión Institucional, 2% a Difusión y Divulgación, 2% a Transferencia de Conocimiento e Innovación y 1% a Vinculación Académica y Social.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Las cifras definitivas deberán incorporarse a este programa una vez que se cuente con la aprobación del Presupuesto 2018 por </w:t>
      </w:r>
      <w:proofErr w:type="gramStart"/>
      <w:r w:rsidRPr="00FC359F">
        <w:rPr>
          <w:rFonts w:ascii="Arial" w:eastAsia="Times New Roman" w:hAnsi="Arial" w:cs="Arial"/>
          <w:color w:val="auto"/>
          <w:sz w:val="24"/>
          <w:szCs w:val="24"/>
          <w:lang w:val="es-MX" w:eastAsia="es-MX"/>
        </w:rPr>
        <w:t>la</w:t>
      </w:r>
      <w:proofErr w:type="gramEnd"/>
      <w:r w:rsidRPr="00FC359F">
        <w:rPr>
          <w:rFonts w:ascii="Arial" w:eastAsia="Times New Roman" w:hAnsi="Arial" w:cs="Arial"/>
          <w:color w:val="auto"/>
          <w:sz w:val="24"/>
          <w:szCs w:val="24"/>
          <w:lang w:val="es-MX" w:eastAsia="es-MX"/>
        </w:rPr>
        <w:t xml:space="preserve"> H. Cámara de Diputados.</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Finalmente, es importante señalar que el Proyecto de Presupuesto en mención se realiza en un entorno externo complejo por lo que la participación institucional a través de la generación de ingresos con origen distinto al subsidio federal será fundamental.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 xml:space="preserve">Como conclusión del contenido de este Programa de Trabajo 2018, es importante mencionar que cada una de las estrategias agrupa un número variable de proyectos y cada proyecto a su vez cuenta con los indicadores que permiten medir los avances y los resultados correspondientes. </w:t>
      </w:r>
    </w:p>
    <w:p w:rsidR="00FC359F" w:rsidRPr="00FC359F" w:rsidRDefault="00FC359F" w:rsidP="00FC359F">
      <w:pPr>
        <w:spacing w:after="200" w:line="276" w:lineRule="auto"/>
        <w:jc w:val="both"/>
        <w:rPr>
          <w:rFonts w:ascii="Arial" w:eastAsia="Times New Roman" w:hAnsi="Arial" w:cs="Arial"/>
          <w:color w:val="auto"/>
          <w:sz w:val="24"/>
          <w:szCs w:val="24"/>
          <w:lang w:val="es-MX" w:eastAsia="es-MX"/>
        </w:rPr>
      </w:pPr>
      <w:r w:rsidRPr="00FC359F">
        <w:rPr>
          <w:rFonts w:ascii="Arial" w:eastAsia="Times New Roman" w:hAnsi="Arial" w:cs="Arial"/>
          <w:color w:val="auto"/>
          <w:sz w:val="24"/>
          <w:szCs w:val="24"/>
          <w:lang w:val="es-MX" w:eastAsia="es-MX"/>
        </w:rPr>
        <w:t>Las metas específicas para el año 2018 quedan establecidas en el Anexo III del Convenio de Administración por Resultados.</w:t>
      </w:r>
    </w:p>
    <w:p w:rsidR="00FC359F" w:rsidRPr="00FC359F" w:rsidRDefault="00FC359F" w:rsidP="00FC359F">
      <w:pPr>
        <w:spacing w:after="200" w:line="276" w:lineRule="auto"/>
        <w:jc w:val="both"/>
        <w:rPr>
          <w:rFonts w:ascii="Arial" w:eastAsia="Times New Roman" w:hAnsi="Arial" w:cs="Arial"/>
          <w:color w:val="auto"/>
          <w:lang w:val="es-MX" w:eastAsia="es-MX"/>
        </w:rPr>
      </w:pPr>
    </w:p>
    <w:p w:rsidR="00FC359F" w:rsidRPr="00FC359F" w:rsidRDefault="00FC359F" w:rsidP="00FC359F">
      <w:pPr>
        <w:spacing w:after="200" w:line="276" w:lineRule="auto"/>
        <w:jc w:val="both"/>
        <w:rPr>
          <w:rFonts w:ascii="Arial" w:eastAsia="Times New Roman" w:hAnsi="Arial" w:cs="Arial"/>
          <w:color w:val="auto"/>
          <w:lang w:val="es-MX" w:eastAsia="es-MX"/>
        </w:rPr>
      </w:pPr>
    </w:p>
    <w:p w:rsidR="00FC359F" w:rsidRPr="00FC359F" w:rsidRDefault="00FC359F" w:rsidP="00FC359F">
      <w:pPr>
        <w:spacing w:after="200" w:line="276" w:lineRule="auto"/>
        <w:jc w:val="both"/>
        <w:rPr>
          <w:rFonts w:ascii="Arial" w:eastAsia="Times New Roman" w:hAnsi="Arial" w:cs="Arial"/>
          <w:color w:val="auto"/>
          <w:lang w:val="es-MX" w:eastAsia="es-MX"/>
        </w:rPr>
      </w:pPr>
    </w:p>
    <w:p w:rsidR="00663E20" w:rsidRDefault="00FC359F" w:rsidP="00FC359F">
      <w:pPr>
        <w:spacing w:after="0" w:line="240" w:lineRule="auto"/>
        <w:jc w:val="center"/>
        <w:rPr>
          <w:rFonts w:ascii="Arial" w:eastAsia="Calibri" w:hAnsi="Arial" w:cs="Arial"/>
          <w:color w:val="auto"/>
          <w:lang w:val="es-MX"/>
        </w:rPr>
      </w:pPr>
      <w:r w:rsidRPr="00FC359F">
        <w:rPr>
          <w:rFonts w:ascii="Arial" w:eastAsia="Calibri" w:hAnsi="Arial" w:cs="Arial"/>
          <w:color w:val="auto"/>
          <w:lang w:val="es-MX"/>
        </w:rPr>
        <w:lastRenderedPageBreak/>
        <w:t xml:space="preserve">  </w:t>
      </w:r>
    </w:p>
    <w:p w:rsidR="00FC359F" w:rsidRPr="00FC359F" w:rsidRDefault="00FC359F" w:rsidP="00FC359F">
      <w:pPr>
        <w:spacing w:after="0" w:line="240" w:lineRule="auto"/>
        <w:jc w:val="center"/>
        <w:rPr>
          <w:rFonts w:ascii="Arial" w:eastAsia="Calibri" w:hAnsi="Arial" w:cs="Arial"/>
          <w:b/>
          <w:color w:val="auto"/>
          <w:sz w:val="22"/>
          <w:szCs w:val="22"/>
          <w:lang w:val="es-MX"/>
        </w:rPr>
      </w:pPr>
      <w:r w:rsidRPr="00FC359F">
        <w:rPr>
          <w:rFonts w:ascii="Arial" w:eastAsia="Calibri" w:hAnsi="Arial" w:cs="Arial"/>
          <w:b/>
          <w:color w:val="auto"/>
          <w:sz w:val="22"/>
          <w:szCs w:val="22"/>
          <w:lang w:val="es-MX"/>
        </w:rPr>
        <w:t>EL COLEGIO DE SAN LUIS, A.C</w:t>
      </w:r>
    </w:p>
    <w:p w:rsidR="00FC359F" w:rsidRPr="00FC359F" w:rsidRDefault="00FC359F" w:rsidP="00FC359F">
      <w:pPr>
        <w:spacing w:after="0" w:line="240" w:lineRule="auto"/>
        <w:jc w:val="center"/>
        <w:rPr>
          <w:rFonts w:ascii="Arial" w:eastAsia="Calibri" w:hAnsi="Arial" w:cs="Arial"/>
          <w:b/>
          <w:color w:val="auto"/>
          <w:sz w:val="22"/>
          <w:szCs w:val="22"/>
          <w:lang w:val="es-MX"/>
        </w:rPr>
      </w:pPr>
      <w:r w:rsidRPr="00FC359F">
        <w:rPr>
          <w:rFonts w:ascii="Arial" w:eastAsia="Calibri" w:hAnsi="Arial" w:cs="Arial"/>
          <w:b/>
          <w:color w:val="auto"/>
          <w:sz w:val="22"/>
          <w:szCs w:val="22"/>
          <w:lang w:val="es-MX"/>
        </w:rPr>
        <w:t>INDICADORES DE DESEMPEÑO 2014-2018</w:t>
      </w:r>
    </w:p>
    <w:p w:rsidR="00FC359F" w:rsidRDefault="00FC359F" w:rsidP="00FC359F">
      <w:pPr>
        <w:spacing w:after="0" w:line="240" w:lineRule="auto"/>
        <w:jc w:val="center"/>
        <w:rPr>
          <w:rFonts w:ascii="Arial" w:eastAsia="Calibri" w:hAnsi="Arial" w:cs="Arial"/>
          <w:b/>
          <w:color w:val="auto"/>
          <w:sz w:val="22"/>
          <w:szCs w:val="22"/>
          <w:lang w:val="es-MX"/>
        </w:rPr>
      </w:pPr>
      <w:r w:rsidRPr="00FC359F">
        <w:rPr>
          <w:rFonts w:ascii="Arial" w:eastAsia="Calibri" w:hAnsi="Arial" w:cs="Arial"/>
          <w:b/>
          <w:color w:val="auto"/>
          <w:sz w:val="22"/>
          <w:szCs w:val="22"/>
          <w:lang w:val="es-MX"/>
        </w:rPr>
        <w:t>ANEXO III DEL CAR</w:t>
      </w:r>
    </w:p>
    <w:p w:rsidR="00663E20" w:rsidRPr="00FC359F" w:rsidRDefault="00663E20" w:rsidP="00FC359F">
      <w:pPr>
        <w:spacing w:after="0" w:line="240" w:lineRule="auto"/>
        <w:jc w:val="center"/>
        <w:rPr>
          <w:rFonts w:ascii="Arial" w:eastAsia="Calibri" w:hAnsi="Arial" w:cs="Arial"/>
          <w:b/>
          <w:color w:val="auto"/>
          <w:sz w:val="22"/>
          <w:szCs w:val="22"/>
          <w:lang w:val="es-MX"/>
        </w:rPr>
      </w:pPr>
    </w:p>
    <w:tbl>
      <w:tblPr>
        <w:tblW w:w="104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20" w:firstRow="1" w:lastRow="0" w:firstColumn="0" w:lastColumn="0" w:noHBand="0" w:noVBand="0"/>
      </w:tblPr>
      <w:tblGrid>
        <w:gridCol w:w="355"/>
        <w:gridCol w:w="1048"/>
        <w:gridCol w:w="1134"/>
        <w:gridCol w:w="2742"/>
        <w:gridCol w:w="1095"/>
        <w:gridCol w:w="986"/>
        <w:gridCol w:w="1096"/>
        <w:gridCol w:w="986"/>
        <w:gridCol w:w="1056"/>
      </w:tblGrid>
      <w:tr w:rsidR="00E75971" w:rsidRPr="00E75971" w:rsidTr="00663E20">
        <w:trPr>
          <w:trHeight w:val="300"/>
          <w:tblHeader/>
          <w:jc w:val="center"/>
        </w:trPr>
        <w:tc>
          <w:tcPr>
            <w:tcW w:w="355" w:type="dxa"/>
            <w:vMerge w:val="restart"/>
            <w:shd w:val="clear" w:color="auto" w:fill="632423"/>
            <w:vAlign w:val="center"/>
          </w:tcPr>
          <w:p w:rsidR="00E75971" w:rsidRPr="00E75971" w:rsidRDefault="00E75971" w:rsidP="00E75971">
            <w:pPr>
              <w:spacing w:before="120" w:after="120" w:line="240" w:lineRule="auto"/>
              <w:jc w:val="center"/>
              <w:rPr>
                <w:rFonts w:ascii="Arial Narrow" w:eastAsia="Times New Roman" w:hAnsi="Arial Narrow" w:cs="Arial"/>
                <w:b/>
                <w:bCs/>
                <w:color w:val="FFFFFF"/>
                <w:sz w:val="16"/>
                <w:szCs w:val="18"/>
                <w:lang w:val="es-MX" w:eastAsia="es-ES"/>
              </w:rPr>
            </w:pPr>
            <w:r w:rsidRPr="00E75971">
              <w:rPr>
                <w:rFonts w:ascii="Arial Narrow" w:eastAsia="Times New Roman" w:hAnsi="Arial Narrow" w:cs="Arial"/>
                <w:b/>
                <w:bCs/>
                <w:color w:val="FFFFFF"/>
                <w:sz w:val="16"/>
                <w:szCs w:val="18"/>
                <w:lang w:val="es-MX" w:eastAsia="es-ES"/>
              </w:rPr>
              <w:t>No.</w:t>
            </w:r>
          </w:p>
        </w:tc>
        <w:tc>
          <w:tcPr>
            <w:tcW w:w="1048" w:type="dxa"/>
            <w:vMerge w:val="restart"/>
            <w:shd w:val="clear" w:color="auto" w:fill="632423"/>
            <w:vAlign w:val="center"/>
          </w:tcPr>
          <w:p w:rsidR="00E75971" w:rsidRPr="00E75971" w:rsidRDefault="00E75971" w:rsidP="00E75971">
            <w:pPr>
              <w:spacing w:before="120" w:after="120" w:line="240" w:lineRule="auto"/>
              <w:jc w:val="center"/>
              <w:rPr>
                <w:rFonts w:ascii="Arial Narrow" w:eastAsia="Times New Roman" w:hAnsi="Arial Narrow" w:cs="Arial"/>
                <w:b/>
                <w:bCs/>
                <w:color w:val="FFFFFF"/>
                <w:sz w:val="16"/>
                <w:szCs w:val="18"/>
                <w:lang w:val="es-MX" w:eastAsia="es-ES"/>
              </w:rPr>
            </w:pPr>
            <w:r w:rsidRPr="00E75971">
              <w:rPr>
                <w:rFonts w:ascii="Arial Narrow" w:eastAsia="Times New Roman" w:hAnsi="Arial Narrow" w:cs="Arial"/>
                <w:b/>
                <w:bCs/>
                <w:color w:val="FFFFFF"/>
                <w:sz w:val="16"/>
                <w:szCs w:val="18"/>
                <w:lang w:val="es-MX" w:eastAsia="es-ES"/>
              </w:rPr>
              <w:t>PROGRAMA</w:t>
            </w:r>
          </w:p>
        </w:tc>
        <w:tc>
          <w:tcPr>
            <w:tcW w:w="1134" w:type="dxa"/>
            <w:vMerge w:val="restart"/>
            <w:shd w:val="clear" w:color="auto" w:fill="632423"/>
            <w:vAlign w:val="center"/>
          </w:tcPr>
          <w:p w:rsidR="00E75971" w:rsidRPr="00E75971" w:rsidRDefault="00E75971" w:rsidP="00E75971">
            <w:pPr>
              <w:keepNext/>
              <w:keepLines/>
              <w:spacing w:before="120" w:after="120" w:line="240" w:lineRule="auto"/>
              <w:outlineLvl w:val="0"/>
              <w:rPr>
                <w:rFonts w:ascii="Cambria" w:eastAsia="Times New Roman" w:hAnsi="Cambria" w:cs="Arial"/>
                <w:b/>
                <w:bCs/>
                <w:color w:val="FFFFFF"/>
                <w:sz w:val="16"/>
                <w:szCs w:val="18"/>
                <w:lang w:val="es-MX" w:eastAsia="es-ES"/>
              </w:rPr>
            </w:pPr>
            <w:r w:rsidRPr="00E75971">
              <w:rPr>
                <w:rFonts w:ascii="Cambria" w:eastAsia="Times New Roman" w:hAnsi="Cambria" w:cs="Arial"/>
                <w:b/>
                <w:bCs/>
                <w:color w:val="FFFFFF"/>
                <w:sz w:val="16"/>
                <w:szCs w:val="18"/>
                <w:lang w:val="es-MX" w:eastAsia="es-ES"/>
              </w:rPr>
              <w:t>INDICADOR</w:t>
            </w:r>
          </w:p>
        </w:tc>
        <w:tc>
          <w:tcPr>
            <w:tcW w:w="2742" w:type="dxa"/>
            <w:vMerge w:val="restart"/>
            <w:shd w:val="clear" w:color="auto" w:fill="632423"/>
            <w:vAlign w:val="center"/>
          </w:tcPr>
          <w:p w:rsidR="00E75971" w:rsidRPr="00E75971" w:rsidRDefault="00E75971" w:rsidP="00E75971">
            <w:pPr>
              <w:keepNext/>
              <w:keepLines/>
              <w:spacing w:before="120" w:after="120" w:line="240" w:lineRule="auto"/>
              <w:outlineLvl w:val="0"/>
              <w:rPr>
                <w:rFonts w:ascii="Cambria" w:eastAsia="Times New Roman" w:hAnsi="Cambria" w:cs="Arial"/>
                <w:b/>
                <w:bCs/>
                <w:color w:val="FFFFFF"/>
                <w:sz w:val="16"/>
                <w:szCs w:val="18"/>
                <w:lang w:val="es-MX" w:eastAsia="es-ES"/>
              </w:rPr>
            </w:pPr>
            <w:r w:rsidRPr="00E75971">
              <w:rPr>
                <w:rFonts w:ascii="Cambria" w:eastAsia="Times New Roman" w:hAnsi="Cambria" w:cs="Arial"/>
                <w:b/>
                <w:bCs/>
                <w:color w:val="FFFFFF"/>
                <w:sz w:val="16"/>
                <w:szCs w:val="18"/>
                <w:lang w:val="es-MX" w:eastAsia="es-ES"/>
              </w:rPr>
              <w:t>UNIDAD DE MEDIDA</w:t>
            </w:r>
          </w:p>
        </w:tc>
        <w:tc>
          <w:tcPr>
            <w:tcW w:w="5219" w:type="dxa"/>
            <w:gridSpan w:val="5"/>
            <w:tcBorders>
              <w:bottom w:val="single" w:sz="12" w:space="0" w:color="auto"/>
            </w:tcBorders>
            <w:shd w:val="clear" w:color="auto" w:fill="632423"/>
          </w:tcPr>
          <w:p w:rsidR="00E75971" w:rsidRPr="00E75971" w:rsidRDefault="00E75971" w:rsidP="00663E20">
            <w:pPr>
              <w:keepNext/>
              <w:keepLines/>
              <w:spacing w:before="120" w:after="120" w:line="240" w:lineRule="auto"/>
              <w:jc w:val="center"/>
              <w:outlineLvl w:val="0"/>
              <w:rPr>
                <w:rFonts w:ascii="Cambria" w:eastAsia="Times New Roman" w:hAnsi="Cambria" w:cs="Arial"/>
                <w:b/>
                <w:bCs/>
                <w:color w:val="FFFFFF"/>
                <w:sz w:val="16"/>
                <w:szCs w:val="18"/>
                <w:lang w:val="es-MX" w:eastAsia="es-ES"/>
              </w:rPr>
            </w:pPr>
            <w:r w:rsidRPr="00E75971">
              <w:rPr>
                <w:rFonts w:ascii="Cambria" w:eastAsia="Times New Roman" w:hAnsi="Cambria" w:cs="Arial"/>
                <w:b/>
                <w:bCs/>
                <w:color w:val="FFFFFF"/>
                <w:sz w:val="16"/>
                <w:szCs w:val="18"/>
                <w:lang w:val="es-MX" w:eastAsia="es-ES"/>
              </w:rPr>
              <w:t>META</w:t>
            </w:r>
          </w:p>
        </w:tc>
      </w:tr>
      <w:tr w:rsidR="00E75971" w:rsidRPr="00E75971" w:rsidTr="00663E20">
        <w:trPr>
          <w:trHeight w:val="41"/>
          <w:tblHeader/>
          <w:jc w:val="center"/>
        </w:trPr>
        <w:tc>
          <w:tcPr>
            <w:tcW w:w="355" w:type="dxa"/>
            <w:vMerge/>
            <w:shd w:val="clear" w:color="auto" w:fill="632423"/>
          </w:tcPr>
          <w:p w:rsidR="00E75971" w:rsidRPr="00E75971" w:rsidRDefault="00E75971" w:rsidP="00E75971">
            <w:pPr>
              <w:spacing w:before="120" w:after="120" w:line="240" w:lineRule="auto"/>
              <w:jc w:val="center"/>
              <w:rPr>
                <w:rFonts w:ascii="Arial Narrow" w:eastAsia="Times New Roman" w:hAnsi="Arial Narrow" w:cs="Arial"/>
                <w:b/>
                <w:bCs/>
                <w:color w:val="FFFFFF"/>
                <w:sz w:val="18"/>
                <w:szCs w:val="18"/>
                <w:lang w:val="es-MX" w:eastAsia="es-ES"/>
              </w:rPr>
            </w:pPr>
          </w:p>
        </w:tc>
        <w:tc>
          <w:tcPr>
            <w:tcW w:w="1048" w:type="dxa"/>
            <w:vMerge/>
            <w:shd w:val="clear" w:color="auto" w:fill="632423"/>
          </w:tcPr>
          <w:p w:rsidR="00E75971" w:rsidRPr="00E75971" w:rsidRDefault="00E75971" w:rsidP="00E75971">
            <w:pPr>
              <w:spacing w:before="120" w:after="120" w:line="240" w:lineRule="auto"/>
              <w:jc w:val="center"/>
              <w:rPr>
                <w:rFonts w:ascii="Arial Narrow" w:eastAsia="Times New Roman" w:hAnsi="Arial Narrow" w:cs="Arial"/>
                <w:b/>
                <w:bCs/>
                <w:color w:val="FFFFFF"/>
                <w:sz w:val="18"/>
                <w:szCs w:val="18"/>
                <w:lang w:val="es-MX" w:eastAsia="es-ES"/>
              </w:rPr>
            </w:pPr>
          </w:p>
        </w:tc>
        <w:tc>
          <w:tcPr>
            <w:tcW w:w="1134" w:type="dxa"/>
            <w:vMerge/>
            <w:shd w:val="clear" w:color="auto" w:fill="632423"/>
          </w:tcPr>
          <w:p w:rsidR="00E75971" w:rsidRPr="00E75971" w:rsidRDefault="00E75971" w:rsidP="00E75971">
            <w:pPr>
              <w:keepNext/>
              <w:keepLines/>
              <w:spacing w:before="120" w:after="120" w:line="240" w:lineRule="auto"/>
              <w:outlineLvl w:val="0"/>
              <w:rPr>
                <w:rFonts w:ascii="Cambria" w:eastAsia="Times New Roman" w:hAnsi="Cambria" w:cs="Arial"/>
                <w:b/>
                <w:bCs/>
                <w:color w:val="FFFFFF"/>
                <w:sz w:val="18"/>
                <w:szCs w:val="18"/>
                <w:lang w:val="es-MX" w:eastAsia="es-ES"/>
              </w:rPr>
            </w:pPr>
          </w:p>
        </w:tc>
        <w:tc>
          <w:tcPr>
            <w:tcW w:w="2742" w:type="dxa"/>
            <w:vMerge/>
            <w:shd w:val="clear" w:color="auto" w:fill="632423"/>
          </w:tcPr>
          <w:p w:rsidR="00E75971" w:rsidRPr="00E75971" w:rsidRDefault="00E75971" w:rsidP="00E75971">
            <w:pPr>
              <w:keepNext/>
              <w:keepLines/>
              <w:spacing w:before="120" w:after="120" w:line="240" w:lineRule="auto"/>
              <w:outlineLvl w:val="0"/>
              <w:rPr>
                <w:rFonts w:ascii="Cambria" w:eastAsia="Times New Roman" w:hAnsi="Cambria" w:cs="Arial"/>
                <w:b/>
                <w:bCs/>
                <w:color w:val="FFFFFF"/>
                <w:sz w:val="18"/>
                <w:szCs w:val="18"/>
                <w:lang w:val="es-MX" w:eastAsia="es-ES"/>
              </w:rPr>
            </w:pPr>
          </w:p>
        </w:tc>
        <w:tc>
          <w:tcPr>
            <w:tcW w:w="1095" w:type="dxa"/>
            <w:shd w:val="clear" w:color="auto" w:fill="632423"/>
          </w:tcPr>
          <w:p w:rsidR="00E75971" w:rsidRPr="00E75971" w:rsidRDefault="00E75971" w:rsidP="00E75971">
            <w:pPr>
              <w:spacing w:after="0" w:line="240" w:lineRule="auto"/>
              <w:ind w:right="-1"/>
              <w:jc w:val="center"/>
              <w:rPr>
                <w:rFonts w:ascii="Arial Narrow" w:eastAsia="Times New Roman" w:hAnsi="Arial Narrow" w:cs="Arial"/>
                <w:b/>
                <w:bCs/>
                <w:color w:val="FFFFFF"/>
                <w:sz w:val="18"/>
                <w:szCs w:val="18"/>
                <w:lang w:val="es-MX" w:eastAsia="es-ES"/>
              </w:rPr>
            </w:pPr>
            <w:r w:rsidRPr="00E75971">
              <w:rPr>
                <w:rFonts w:ascii="Arial Narrow" w:eastAsia="Times New Roman" w:hAnsi="Arial Narrow" w:cs="Arial"/>
                <w:b/>
                <w:bCs/>
                <w:color w:val="FFFFFF"/>
                <w:sz w:val="18"/>
                <w:szCs w:val="18"/>
                <w:lang w:val="es-MX" w:eastAsia="es-ES"/>
              </w:rPr>
              <w:t>2014</w:t>
            </w:r>
          </w:p>
        </w:tc>
        <w:tc>
          <w:tcPr>
            <w:tcW w:w="986" w:type="dxa"/>
            <w:shd w:val="clear" w:color="auto" w:fill="632423"/>
          </w:tcPr>
          <w:p w:rsidR="00E75971" w:rsidRPr="00E75971" w:rsidRDefault="00E75971" w:rsidP="00E75971">
            <w:pPr>
              <w:spacing w:after="0" w:line="240" w:lineRule="auto"/>
              <w:ind w:right="-1"/>
              <w:jc w:val="center"/>
              <w:rPr>
                <w:rFonts w:ascii="Arial Narrow" w:eastAsia="Times New Roman" w:hAnsi="Arial Narrow" w:cs="Arial"/>
                <w:b/>
                <w:bCs/>
                <w:color w:val="FFFFFF"/>
                <w:sz w:val="18"/>
                <w:szCs w:val="18"/>
                <w:lang w:val="es-MX" w:eastAsia="es-ES"/>
              </w:rPr>
            </w:pPr>
            <w:r w:rsidRPr="00E75971">
              <w:rPr>
                <w:rFonts w:ascii="Arial Narrow" w:eastAsia="Times New Roman" w:hAnsi="Arial Narrow" w:cs="Arial"/>
                <w:b/>
                <w:bCs/>
                <w:color w:val="FFFFFF"/>
                <w:sz w:val="18"/>
                <w:szCs w:val="18"/>
                <w:lang w:val="es-MX" w:eastAsia="es-ES"/>
              </w:rPr>
              <w:t>2015</w:t>
            </w:r>
          </w:p>
        </w:tc>
        <w:tc>
          <w:tcPr>
            <w:tcW w:w="1096" w:type="dxa"/>
            <w:shd w:val="clear" w:color="auto" w:fill="632423"/>
          </w:tcPr>
          <w:p w:rsidR="00E75971" w:rsidRPr="00E75971" w:rsidRDefault="00E75971" w:rsidP="00E75971">
            <w:pPr>
              <w:spacing w:after="0" w:line="240" w:lineRule="auto"/>
              <w:ind w:right="-1"/>
              <w:jc w:val="center"/>
              <w:rPr>
                <w:rFonts w:ascii="Arial Narrow" w:eastAsia="Times New Roman" w:hAnsi="Arial Narrow" w:cs="Arial"/>
                <w:b/>
                <w:bCs/>
                <w:color w:val="FFFFFF"/>
                <w:sz w:val="18"/>
                <w:szCs w:val="18"/>
                <w:lang w:val="es-MX" w:eastAsia="es-ES"/>
              </w:rPr>
            </w:pPr>
            <w:r w:rsidRPr="00E75971">
              <w:rPr>
                <w:rFonts w:ascii="Arial Narrow" w:eastAsia="Times New Roman" w:hAnsi="Arial Narrow" w:cs="Arial"/>
                <w:b/>
                <w:bCs/>
                <w:color w:val="FFFFFF"/>
                <w:sz w:val="18"/>
                <w:szCs w:val="18"/>
                <w:lang w:val="es-MX" w:eastAsia="es-ES"/>
              </w:rPr>
              <w:t>2016</w:t>
            </w:r>
          </w:p>
        </w:tc>
        <w:tc>
          <w:tcPr>
            <w:tcW w:w="986" w:type="dxa"/>
            <w:shd w:val="clear" w:color="auto" w:fill="632423"/>
          </w:tcPr>
          <w:p w:rsidR="00E75971" w:rsidRPr="00E75971" w:rsidRDefault="00E75971" w:rsidP="00E75971">
            <w:pPr>
              <w:spacing w:after="0" w:line="240" w:lineRule="auto"/>
              <w:ind w:right="-1"/>
              <w:jc w:val="center"/>
              <w:rPr>
                <w:rFonts w:ascii="Arial Narrow" w:eastAsia="Times New Roman" w:hAnsi="Arial Narrow" w:cs="Arial"/>
                <w:b/>
                <w:bCs/>
                <w:color w:val="FFFFFF"/>
                <w:sz w:val="18"/>
                <w:szCs w:val="18"/>
                <w:lang w:val="es-MX" w:eastAsia="es-ES"/>
              </w:rPr>
            </w:pPr>
            <w:r w:rsidRPr="00E75971">
              <w:rPr>
                <w:rFonts w:ascii="Arial Narrow" w:eastAsia="Times New Roman" w:hAnsi="Arial Narrow" w:cs="Arial"/>
                <w:b/>
                <w:bCs/>
                <w:color w:val="FFFFFF"/>
                <w:sz w:val="18"/>
                <w:szCs w:val="18"/>
                <w:lang w:val="es-MX" w:eastAsia="es-ES"/>
              </w:rPr>
              <w:t>2017</w:t>
            </w:r>
          </w:p>
        </w:tc>
        <w:tc>
          <w:tcPr>
            <w:tcW w:w="1056" w:type="dxa"/>
            <w:shd w:val="clear" w:color="auto" w:fill="632423"/>
          </w:tcPr>
          <w:p w:rsidR="00E75971" w:rsidRPr="00E75971" w:rsidRDefault="00E75971" w:rsidP="00E75971">
            <w:pPr>
              <w:spacing w:after="0" w:line="240" w:lineRule="auto"/>
              <w:ind w:right="-1"/>
              <w:jc w:val="center"/>
              <w:rPr>
                <w:rFonts w:ascii="Arial Narrow" w:eastAsia="Times New Roman" w:hAnsi="Arial Narrow" w:cs="Arial"/>
                <w:b/>
                <w:bCs/>
                <w:color w:val="FFFFFF"/>
                <w:sz w:val="18"/>
                <w:szCs w:val="18"/>
                <w:lang w:val="es-MX" w:eastAsia="es-ES"/>
              </w:rPr>
            </w:pPr>
            <w:r w:rsidRPr="00E75971">
              <w:rPr>
                <w:rFonts w:ascii="Arial Narrow" w:eastAsia="Times New Roman" w:hAnsi="Arial Narrow" w:cs="Arial"/>
                <w:b/>
                <w:bCs/>
                <w:color w:val="FFFFFF"/>
                <w:sz w:val="18"/>
                <w:szCs w:val="18"/>
                <w:lang w:val="es-MX" w:eastAsia="es-ES"/>
              </w:rPr>
              <w:t>2018</w:t>
            </w:r>
          </w:p>
        </w:tc>
      </w:tr>
      <w:tr w:rsidR="00E75971" w:rsidRPr="00E75971" w:rsidTr="00663E20">
        <w:trPr>
          <w:trHeight w:val="317"/>
          <w:jc w:val="center"/>
        </w:trPr>
        <w:tc>
          <w:tcPr>
            <w:tcW w:w="355" w:type="dxa"/>
            <w:vMerge w:val="restart"/>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w:t>
            </w:r>
          </w:p>
        </w:tc>
        <w:tc>
          <w:tcPr>
            <w:tcW w:w="1048" w:type="dxa"/>
            <w:vMerge w:val="restart"/>
            <w:vAlign w:val="center"/>
          </w:tcPr>
          <w:p w:rsidR="00E75971" w:rsidRPr="00E75971" w:rsidRDefault="00E75971" w:rsidP="00E75971">
            <w:pPr>
              <w:spacing w:after="0" w:line="240" w:lineRule="auto"/>
              <w:ind w:left="-70"/>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Investigación Científica</w:t>
            </w:r>
          </w:p>
        </w:tc>
        <w:tc>
          <w:tcPr>
            <w:tcW w:w="1134" w:type="dxa"/>
            <w:vMerge w:val="restart"/>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rPr>
            </w:pPr>
            <w:r w:rsidRPr="00E75971">
              <w:rPr>
                <w:rFonts w:ascii="Arial Narrow" w:eastAsia="Times New Roman" w:hAnsi="Arial Narrow" w:cs="Arial"/>
                <w:bCs/>
                <w:color w:val="auto"/>
                <w:sz w:val="16"/>
                <w:szCs w:val="18"/>
                <w:lang w:val="es-MX"/>
              </w:rPr>
              <w:t>Generación de Conocimiento de Calidad</w:t>
            </w:r>
          </w:p>
        </w:tc>
        <w:tc>
          <w:tcPr>
            <w:tcW w:w="2742" w:type="dxa"/>
            <w:vMerge w:val="restart"/>
            <w:vAlign w:val="center"/>
          </w:tcPr>
          <w:p w:rsidR="00E75971" w:rsidRPr="00E75971" w:rsidRDefault="00663E20" w:rsidP="00E75971">
            <w:pPr>
              <w:spacing w:after="0" w:line="240" w:lineRule="auto"/>
              <w:jc w:val="center"/>
              <w:rPr>
                <w:rFonts w:ascii="Arial Narrow" w:eastAsia="Times New Roman" w:hAnsi="Arial Narrow" w:cs="Arial"/>
                <w:bCs/>
                <w:color w:val="auto"/>
                <w:sz w:val="16"/>
                <w:szCs w:val="18"/>
                <w:lang w:val="es-MX"/>
              </w:rPr>
            </w:pPr>
            <w:r w:rsidRPr="00E75971">
              <w:rPr>
                <w:rFonts w:ascii="Arial Narrow" w:eastAsia="Times New Roman" w:hAnsi="Arial Narrow" w:cs="Arial"/>
                <w:bCs/>
                <w:noProof/>
                <w:color w:val="auto"/>
                <w:sz w:val="16"/>
                <w:szCs w:val="18"/>
                <w:lang w:val="es-MX" w:eastAsia="es-MX"/>
              </w:rPr>
              <mc:AlternateContent>
                <mc:Choice Requires="wps">
                  <w:drawing>
                    <wp:anchor distT="0" distB="0" distL="114300" distR="114300" simplePos="0" relativeHeight="251691008" behindDoc="0" locked="0" layoutInCell="1" allowOverlap="1" wp14:anchorId="672497D8" wp14:editId="01E2357B">
                      <wp:simplePos x="0" y="0"/>
                      <wp:positionH relativeFrom="column">
                        <wp:posOffset>36195</wp:posOffset>
                      </wp:positionH>
                      <wp:positionV relativeFrom="paragraph">
                        <wp:posOffset>90170</wp:posOffset>
                      </wp:positionV>
                      <wp:extent cx="1657350" cy="0"/>
                      <wp:effectExtent l="6350" t="10795" r="12700" b="8255"/>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3B7D6" id="Conector recto 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1pt" to="133.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sNGgIAADQ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"/>
                  </w:pict>
                </mc:Fallback>
              </mc:AlternateContent>
            </w:r>
            <w:r w:rsidR="00E75971" w:rsidRPr="00E75971">
              <w:rPr>
                <w:rFonts w:ascii="Arial Narrow" w:eastAsia="Times New Roman" w:hAnsi="Arial Narrow" w:cs="Arial"/>
                <w:bCs/>
                <w:color w:val="auto"/>
                <w:sz w:val="16"/>
                <w:szCs w:val="18"/>
                <w:lang w:val="es-MX"/>
              </w:rPr>
              <w:t>Número de publicaciones arbitradas</w:t>
            </w:r>
            <w:r w:rsidR="00E75971" w:rsidRPr="00E75971">
              <w:rPr>
                <w:rFonts w:ascii="Arial Narrow" w:eastAsia="Times New Roman" w:hAnsi="Arial Narrow" w:cs="Arial"/>
                <w:bCs/>
                <w:color w:val="auto"/>
                <w:sz w:val="16"/>
                <w:szCs w:val="18"/>
                <w:lang w:val="es-MX"/>
              </w:rPr>
              <w:br/>
              <w:t>Número de investigadores del Centro</w:t>
            </w:r>
          </w:p>
        </w:tc>
        <w:tc>
          <w:tcPr>
            <w:tcW w:w="1095"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100</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108</w:t>
            </w:r>
          </w:p>
        </w:tc>
        <w:tc>
          <w:tcPr>
            <w:tcW w:w="109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116</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120</w:t>
            </w:r>
          </w:p>
        </w:tc>
        <w:tc>
          <w:tcPr>
            <w:tcW w:w="105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125</w:t>
            </w:r>
          </w:p>
        </w:tc>
      </w:tr>
      <w:tr w:rsidR="00E75971" w:rsidRPr="00E75971" w:rsidTr="00663E20">
        <w:trPr>
          <w:trHeight w:val="321"/>
          <w:jc w:val="center"/>
        </w:trPr>
        <w:tc>
          <w:tcPr>
            <w:tcW w:w="355"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048" w:type="dxa"/>
            <w:vMerge/>
            <w:vAlign w:val="center"/>
          </w:tcPr>
          <w:p w:rsidR="00E75971" w:rsidRPr="00E75971" w:rsidRDefault="00E75971" w:rsidP="00E75971">
            <w:pPr>
              <w:spacing w:after="0" w:line="240" w:lineRule="auto"/>
              <w:ind w:left="-70"/>
              <w:jc w:val="center"/>
              <w:rPr>
                <w:rFonts w:ascii="Arial Narrow" w:eastAsia="Times New Roman" w:hAnsi="Arial Narrow" w:cs="Arial"/>
                <w:bCs/>
                <w:color w:val="auto"/>
                <w:sz w:val="16"/>
                <w:szCs w:val="18"/>
                <w:lang w:val="es-MX" w:eastAsia="es-ES"/>
              </w:rPr>
            </w:pPr>
          </w:p>
        </w:tc>
        <w:tc>
          <w:tcPr>
            <w:tcW w:w="1134"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rPr>
            </w:pPr>
          </w:p>
        </w:tc>
        <w:tc>
          <w:tcPr>
            <w:tcW w:w="2742" w:type="dxa"/>
            <w:vMerge/>
          </w:tcPr>
          <w:p w:rsidR="00E75971" w:rsidRPr="00E75971" w:rsidRDefault="00E75971" w:rsidP="00E75971">
            <w:pPr>
              <w:spacing w:after="0" w:line="240" w:lineRule="auto"/>
              <w:jc w:val="center"/>
              <w:rPr>
                <w:rFonts w:ascii="Arial Narrow" w:eastAsia="Times New Roman" w:hAnsi="Arial Narrow" w:cs="Arial"/>
                <w:bCs/>
                <w:noProof/>
                <w:color w:val="auto"/>
                <w:sz w:val="16"/>
                <w:szCs w:val="18"/>
                <w:lang w:val="es-MX" w:eastAsia="es-MX"/>
              </w:rPr>
            </w:pPr>
          </w:p>
        </w:tc>
        <w:tc>
          <w:tcPr>
            <w:tcW w:w="1095" w:type="dxa"/>
            <w:tcBorders>
              <w:bottom w:val="single" w:sz="12" w:space="0" w:color="auto"/>
            </w:tcBorders>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50</w:t>
            </w:r>
          </w:p>
        </w:tc>
        <w:tc>
          <w:tcPr>
            <w:tcW w:w="986" w:type="dxa"/>
            <w:tcBorders>
              <w:bottom w:val="single" w:sz="12" w:space="0" w:color="auto"/>
            </w:tcBorders>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54</w:t>
            </w:r>
          </w:p>
        </w:tc>
        <w:tc>
          <w:tcPr>
            <w:tcW w:w="1096" w:type="dxa"/>
            <w:tcBorders>
              <w:bottom w:val="single" w:sz="12" w:space="0" w:color="auto"/>
            </w:tcBorders>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58</w:t>
            </w:r>
          </w:p>
        </w:tc>
        <w:tc>
          <w:tcPr>
            <w:tcW w:w="986" w:type="dxa"/>
            <w:tcBorders>
              <w:bottom w:val="single" w:sz="12" w:space="0" w:color="auto"/>
            </w:tcBorders>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60</w:t>
            </w:r>
          </w:p>
        </w:tc>
        <w:tc>
          <w:tcPr>
            <w:tcW w:w="1056" w:type="dxa"/>
            <w:tcBorders>
              <w:bottom w:val="single" w:sz="12" w:space="0" w:color="auto"/>
            </w:tcBorders>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60</w:t>
            </w:r>
          </w:p>
        </w:tc>
      </w:tr>
      <w:tr w:rsidR="00E75971" w:rsidRPr="00E75971" w:rsidTr="00663E20">
        <w:trPr>
          <w:trHeight w:val="321"/>
          <w:jc w:val="center"/>
        </w:trPr>
        <w:tc>
          <w:tcPr>
            <w:tcW w:w="355"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048" w:type="dxa"/>
            <w:vMerge/>
            <w:vAlign w:val="center"/>
          </w:tcPr>
          <w:p w:rsidR="00E75971" w:rsidRPr="00E75971" w:rsidRDefault="00E75971" w:rsidP="00E75971">
            <w:pPr>
              <w:spacing w:after="0" w:line="240" w:lineRule="auto"/>
              <w:ind w:left="-70"/>
              <w:jc w:val="center"/>
              <w:rPr>
                <w:rFonts w:ascii="Arial Narrow" w:eastAsia="Times New Roman" w:hAnsi="Arial Narrow" w:cs="Arial"/>
                <w:bCs/>
                <w:color w:val="auto"/>
                <w:sz w:val="16"/>
                <w:szCs w:val="18"/>
                <w:lang w:val="es-MX" w:eastAsia="es-ES"/>
              </w:rPr>
            </w:pPr>
          </w:p>
        </w:tc>
        <w:tc>
          <w:tcPr>
            <w:tcW w:w="1134"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rPr>
            </w:pPr>
          </w:p>
        </w:tc>
        <w:tc>
          <w:tcPr>
            <w:tcW w:w="2742" w:type="dxa"/>
            <w:vMerge/>
          </w:tcPr>
          <w:p w:rsidR="00E75971" w:rsidRPr="00E75971" w:rsidRDefault="00E75971" w:rsidP="00E75971">
            <w:pPr>
              <w:spacing w:after="0" w:line="240" w:lineRule="auto"/>
              <w:jc w:val="center"/>
              <w:rPr>
                <w:rFonts w:ascii="Arial Narrow" w:eastAsia="Times New Roman" w:hAnsi="Arial Narrow" w:cs="Arial"/>
                <w:bCs/>
                <w:noProof/>
                <w:color w:val="auto"/>
                <w:sz w:val="16"/>
                <w:szCs w:val="18"/>
                <w:lang w:val="es-MX" w:eastAsia="es-MX"/>
              </w:rPr>
            </w:pPr>
          </w:p>
        </w:tc>
        <w:tc>
          <w:tcPr>
            <w:tcW w:w="1095"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2.0</w:t>
            </w:r>
          </w:p>
        </w:tc>
        <w:tc>
          <w:tcPr>
            <w:tcW w:w="98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2.0</w:t>
            </w:r>
          </w:p>
        </w:tc>
        <w:tc>
          <w:tcPr>
            <w:tcW w:w="109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2.0</w:t>
            </w:r>
          </w:p>
        </w:tc>
        <w:tc>
          <w:tcPr>
            <w:tcW w:w="98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2.0</w:t>
            </w:r>
          </w:p>
        </w:tc>
        <w:tc>
          <w:tcPr>
            <w:tcW w:w="105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2.08</w:t>
            </w:r>
          </w:p>
        </w:tc>
      </w:tr>
      <w:tr w:rsidR="00E75971" w:rsidRPr="00E75971" w:rsidTr="00663E20">
        <w:trPr>
          <w:trHeight w:val="321"/>
          <w:jc w:val="center"/>
        </w:trPr>
        <w:tc>
          <w:tcPr>
            <w:tcW w:w="355" w:type="dxa"/>
            <w:vMerge w:val="restart"/>
            <w:vAlign w:val="center"/>
          </w:tcPr>
          <w:p w:rsidR="00E75971" w:rsidRPr="00E75971" w:rsidRDefault="00E75971" w:rsidP="00E75971">
            <w:pPr>
              <w:spacing w:before="120" w:after="0" w:line="240" w:lineRule="auto"/>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2</w:t>
            </w:r>
          </w:p>
        </w:tc>
        <w:tc>
          <w:tcPr>
            <w:tcW w:w="1048"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val="restart"/>
            <w:vAlign w:val="center"/>
          </w:tcPr>
          <w:p w:rsidR="00E75971" w:rsidRPr="00E75971" w:rsidRDefault="00E75971" w:rsidP="00E75971">
            <w:pPr>
              <w:spacing w:before="60" w:line="240" w:lineRule="auto"/>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Proyectos Externos Por Investigador</w:t>
            </w:r>
          </w:p>
        </w:tc>
        <w:tc>
          <w:tcPr>
            <w:tcW w:w="2742" w:type="dxa"/>
            <w:vMerge w:val="restart"/>
            <w:vAlign w:val="center"/>
          </w:tcPr>
          <w:p w:rsidR="00E75971" w:rsidRPr="00E75971" w:rsidRDefault="00663E20" w:rsidP="00E75971">
            <w:pPr>
              <w:spacing w:before="60" w:line="240" w:lineRule="auto"/>
              <w:jc w:val="center"/>
              <w:rPr>
                <w:rFonts w:ascii="Arial Narrow" w:eastAsia="Times New Roman" w:hAnsi="Arial Narrow" w:cs="Arial"/>
                <w:bCs/>
                <w:noProof/>
                <w:color w:val="auto"/>
                <w:sz w:val="16"/>
                <w:szCs w:val="18"/>
                <w:lang w:eastAsia="es-ES"/>
              </w:rPr>
            </w:pPr>
            <w:r w:rsidRPr="00E75971">
              <w:rPr>
                <w:rFonts w:ascii="Arial Narrow" w:eastAsia="Times New Roman" w:hAnsi="Arial Narrow" w:cs="Arial"/>
                <w:bCs/>
                <w:noProof/>
                <w:color w:val="auto"/>
                <w:sz w:val="16"/>
                <w:szCs w:val="18"/>
                <w:lang w:val="es-MX" w:eastAsia="es-MX"/>
              </w:rPr>
              <mc:AlternateContent>
                <mc:Choice Requires="wps">
                  <w:drawing>
                    <wp:anchor distT="0" distB="0" distL="114300" distR="114300" simplePos="0" relativeHeight="251688960" behindDoc="0" locked="0" layoutInCell="1" allowOverlap="1" wp14:anchorId="672497D8" wp14:editId="01E2357B">
                      <wp:simplePos x="0" y="0"/>
                      <wp:positionH relativeFrom="column">
                        <wp:posOffset>0</wp:posOffset>
                      </wp:positionH>
                      <wp:positionV relativeFrom="paragraph">
                        <wp:posOffset>258445</wp:posOffset>
                      </wp:positionV>
                      <wp:extent cx="1657350" cy="0"/>
                      <wp:effectExtent l="6350" t="10795" r="12700" b="8255"/>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92E81" id="Conector recto 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35pt" to="130.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LGgIAADQ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"/>
                  </w:pict>
                </mc:Fallback>
              </mc:AlternateContent>
            </w:r>
            <w:r w:rsidR="00E75971" w:rsidRPr="00E75971">
              <w:rPr>
                <w:rFonts w:ascii="Arial Narrow" w:eastAsia="Times New Roman" w:hAnsi="Arial Narrow" w:cs="Arial"/>
                <w:bCs/>
                <w:noProof/>
                <w:color w:val="auto"/>
                <w:sz w:val="16"/>
                <w:szCs w:val="18"/>
                <w:lang w:eastAsia="es-ES"/>
              </w:rPr>
              <w:t xml:space="preserve">Número de proyectos de investigación financiados con recursos externos </w:t>
            </w:r>
            <w:r w:rsidR="00E75971" w:rsidRPr="00E75971">
              <w:rPr>
                <w:rFonts w:ascii="Arial Narrow" w:eastAsia="Times New Roman" w:hAnsi="Arial Narrow" w:cs="Arial"/>
                <w:bCs/>
                <w:color w:val="auto"/>
                <w:sz w:val="16"/>
                <w:szCs w:val="18"/>
                <w:lang w:val="es-MX" w:eastAsia="es-ES"/>
              </w:rPr>
              <w:br/>
            </w:r>
            <w:r w:rsidR="00E75971" w:rsidRPr="00E75971">
              <w:rPr>
                <w:rFonts w:ascii="Arial Narrow" w:eastAsia="Times New Roman" w:hAnsi="Arial Narrow" w:cs="Times New Roman"/>
                <w:bCs/>
                <w:color w:val="auto"/>
                <w:sz w:val="16"/>
                <w:szCs w:val="18"/>
                <w:lang w:val="es-MX" w:eastAsia="es-ES"/>
              </w:rPr>
              <w:t>Número de investigadores del Centro</w:t>
            </w:r>
          </w:p>
        </w:tc>
        <w:tc>
          <w:tcPr>
            <w:tcW w:w="1095"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6</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6</w:t>
            </w:r>
          </w:p>
        </w:tc>
        <w:tc>
          <w:tcPr>
            <w:tcW w:w="109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8</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10</w:t>
            </w:r>
          </w:p>
        </w:tc>
        <w:tc>
          <w:tcPr>
            <w:tcW w:w="105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10</w:t>
            </w:r>
          </w:p>
        </w:tc>
      </w:tr>
      <w:tr w:rsidR="00E75971" w:rsidRPr="00E75971" w:rsidTr="00663E20">
        <w:trPr>
          <w:trHeight w:val="321"/>
          <w:jc w:val="center"/>
        </w:trPr>
        <w:tc>
          <w:tcPr>
            <w:tcW w:w="355" w:type="dxa"/>
            <w:vMerge/>
            <w:vAlign w:val="center"/>
          </w:tcPr>
          <w:p w:rsidR="00E75971" w:rsidRPr="00E75971" w:rsidRDefault="00E75971" w:rsidP="00E75971">
            <w:pPr>
              <w:spacing w:before="120" w:after="0" w:line="240" w:lineRule="auto"/>
              <w:jc w:val="center"/>
              <w:rPr>
                <w:rFonts w:ascii="Arial Narrow" w:eastAsia="Times New Roman" w:hAnsi="Arial Narrow" w:cs="Arial"/>
                <w:bCs/>
                <w:color w:val="auto"/>
                <w:sz w:val="16"/>
                <w:szCs w:val="18"/>
                <w:lang w:val="es-MX" w:eastAsia="es-ES"/>
              </w:rPr>
            </w:pPr>
          </w:p>
        </w:tc>
        <w:tc>
          <w:tcPr>
            <w:tcW w:w="1048"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vAlign w:val="center"/>
          </w:tcPr>
          <w:p w:rsidR="00E75971" w:rsidRPr="00E75971" w:rsidRDefault="00E75971" w:rsidP="00E75971">
            <w:pPr>
              <w:spacing w:before="60" w:line="240" w:lineRule="auto"/>
              <w:jc w:val="center"/>
              <w:rPr>
                <w:rFonts w:ascii="Arial Narrow" w:eastAsia="Times New Roman" w:hAnsi="Arial Narrow" w:cs="Arial"/>
                <w:bCs/>
                <w:color w:val="auto"/>
                <w:sz w:val="16"/>
                <w:szCs w:val="18"/>
                <w:lang w:val="es-MX" w:eastAsia="es-ES"/>
              </w:rPr>
            </w:pPr>
          </w:p>
        </w:tc>
        <w:tc>
          <w:tcPr>
            <w:tcW w:w="2742" w:type="dxa"/>
            <w:vMerge/>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p>
        </w:tc>
        <w:tc>
          <w:tcPr>
            <w:tcW w:w="1095"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50</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54</w:t>
            </w:r>
          </w:p>
        </w:tc>
        <w:tc>
          <w:tcPr>
            <w:tcW w:w="109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58</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60</w:t>
            </w:r>
          </w:p>
        </w:tc>
        <w:tc>
          <w:tcPr>
            <w:tcW w:w="105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60</w:t>
            </w:r>
          </w:p>
        </w:tc>
      </w:tr>
      <w:tr w:rsidR="00E75971" w:rsidRPr="00E75971" w:rsidTr="00663E20">
        <w:trPr>
          <w:trHeight w:val="321"/>
          <w:jc w:val="center"/>
        </w:trPr>
        <w:tc>
          <w:tcPr>
            <w:tcW w:w="355" w:type="dxa"/>
            <w:vMerge/>
            <w:vAlign w:val="center"/>
          </w:tcPr>
          <w:p w:rsidR="00E75971" w:rsidRPr="00E75971" w:rsidRDefault="00E75971" w:rsidP="00E75971">
            <w:pPr>
              <w:spacing w:before="120" w:after="0" w:line="240" w:lineRule="auto"/>
              <w:jc w:val="center"/>
              <w:rPr>
                <w:rFonts w:ascii="Arial Narrow" w:eastAsia="Times New Roman" w:hAnsi="Arial Narrow" w:cs="Arial"/>
                <w:bCs/>
                <w:color w:val="auto"/>
                <w:sz w:val="16"/>
                <w:szCs w:val="18"/>
                <w:lang w:val="es-MX" w:eastAsia="es-ES"/>
              </w:rPr>
            </w:pPr>
          </w:p>
        </w:tc>
        <w:tc>
          <w:tcPr>
            <w:tcW w:w="1048"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vAlign w:val="center"/>
          </w:tcPr>
          <w:p w:rsidR="00E75971" w:rsidRPr="00E75971" w:rsidRDefault="00E75971" w:rsidP="00E75971">
            <w:pPr>
              <w:spacing w:before="60" w:line="240" w:lineRule="auto"/>
              <w:jc w:val="center"/>
              <w:rPr>
                <w:rFonts w:ascii="Arial Narrow" w:eastAsia="Times New Roman" w:hAnsi="Arial Narrow" w:cs="Arial"/>
                <w:bCs/>
                <w:color w:val="auto"/>
                <w:sz w:val="16"/>
                <w:szCs w:val="18"/>
                <w:lang w:val="es-MX" w:eastAsia="es-ES"/>
              </w:rPr>
            </w:pPr>
          </w:p>
        </w:tc>
        <w:tc>
          <w:tcPr>
            <w:tcW w:w="2742" w:type="dxa"/>
            <w:vMerge/>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p>
        </w:tc>
        <w:tc>
          <w:tcPr>
            <w:tcW w:w="1095"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0.12</w:t>
            </w:r>
          </w:p>
        </w:tc>
        <w:tc>
          <w:tcPr>
            <w:tcW w:w="98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0.11</w:t>
            </w:r>
          </w:p>
        </w:tc>
        <w:tc>
          <w:tcPr>
            <w:tcW w:w="109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0.13</w:t>
            </w:r>
          </w:p>
        </w:tc>
        <w:tc>
          <w:tcPr>
            <w:tcW w:w="98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0.16</w:t>
            </w:r>
          </w:p>
        </w:tc>
        <w:tc>
          <w:tcPr>
            <w:tcW w:w="105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0.16</w:t>
            </w:r>
          </w:p>
        </w:tc>
      </w:tr>
      <w:tr w:rsidR="00E75971" w:rsidRPr="00E75971" w:rsidTr="00663E20">
        <w:trPr>
          <w:trHeight w:val="307"/>
          <w:jc w:val="center"/>
        </w:trPr>
        <w:tc>
          <w:tcPr>
            <w:tcW w:w="355" w:type="dxa"/>
            <w:vMerge w:val="restart"/>
            <w:vAlign w:val="center"/>
          </w:tcPr>
          <w:p w:rsidR="00E75971" w:rsidRPr="00E75971" w:rsidRDefault="00E75971" w:rsidP="00E75971">
            <w:pPr>
              <w:spacing w:before="120" w:after="0" w:line="240" w:lineRule="auto"/>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3</w:t>
            </w:r>
          </w:p>
        </w:tc>
        <w:tc>
          <w:tcPr>
            <w:tcW w:w="1048" w:type="dxa"/>
            <w:vMerge w:val="restart"/>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Formación de Recursos Humanos</w:t>
            </w:r>
          </w:p>
        </w:tc>
        <w:tc>
          <w:tcPr>
            <w:tcW w:w="1134" w:type="dxa"/>
            <w:vMerge w:val="restart"/>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r w:rsidRPr="00E75971">
              <w:rPr>
                <w:rFonts w:ascii="Arial Narrow" w:eastAsia="Times New Roman" w:hAnsi="Arial Narrow" w:cs="Arial"/>
                <w:bCs/>
                <w:noProof/>
                <w:color w:val="auto"/>
                <w:sz w:val="16"/>
                <w:szCs w:val="18"/>
                <w:lang w:eastAsia="es-ES"/>
              </w:rPr>
              <w:t>Calidad de los posgrados</w:t>
            </w:r>
          </w:p>
        </w:tc>
        <w:tc>
          <w:tcPr>
            <w:tcW w:w="2742" w:type="dxa"/>
            <w:vMerge w:val="restart"/>
          </w:tcPr>
          <w:p w:rsidR="00E75971" w:rsidRPr="00E75971" w:rsidRDefault="00663E20" w:rsidP="00E75971">
            <w:pPr>
              <w:spacing w:before="60" w:line="240" w:lineRule="auto"/>
              <w:jc w:val="center"/>
              <w:rPr>
                <w:rFonts w:ascii="Arial Narrow" w:eastAsia="Times New Roman" w:hAnsi="Arial Narrow" w:cs="Arial"/>
                <w:bCs/>
                <w:noProof/>
                <w:color w:val="auto"/>
                <w:sz w:val="14"/>
                <w:szCs w:val="14"/>
                <w:lang w:eastAsia="es-ES"/>
              </w:rPr>
            </w:pPr>
            <w:r w:rsidRPr="00E75971">
              <w:rPr>
                <w:rFonts w:ascii="Arial Narrow" w:eastAsia="Times New Roman" w:hAnsi="Arial Narrow" w:cs="Arial"/>
                <w:bCs/>
                <w:noProof/>
                <w:color w:val="auto"/>
                <w:sz w:val="16"/>
                <w:szCs w:val="18"/>
                <w:lang w:val="es-MX" w:eastAsia="es-MX"/>
              </w:rPr>
              <mc:AlternateContent>
                <mc:Choice Requires="wps">
                  <w:drawing>
                    <wp:anchor distT="0" distB="0" distL="114300" distR="114300" simplePos="0" relativeHeight="251686912" behindDoc="0" locked="0" layoutInCell="1" allowOverlap="1" wp14:anchorId="672497D8" wp14:editId="01E2357B">
                      <wp:simplePos x="0" y="0"/>
                      <wp:positionH relativeFrom="column">
                        <wp:posOffset>9083</wp:posOffset>
                      </wp:positionH>
                      <wp:positionV relativeFrom="paragraph">
                        <wp:posOffset>636104</wp:posOffset>
                      </wp:positionV>
                      <wp:extent cx="1657350" cy="0"/>
                      <wp:effectExtent l="6350" t="10795" r="12700" b="8255"/>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4E8F6" id="Conector recto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0.1pt" to="131.2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EqGgIAADQ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"/>
                  </w:pict>
                </mc:Fallback>
              </mc:AlternateContent>
            </w:r>
            <w:r w:rsidR="00E75971" w:rsidRPr="00E75971">
              <w:rPr>
                <w:rFonts w:ascii="Arial Narrow" w:eastAsia="Times New Roman" w:hAnsi="Arial Narrow" w:cs="Arial"/>
                <w:bCs/>
                <w:noProof/>
                <w:color w:val="auto"/>
                <w:sz w:val="14"/>
                <w:szCs w:val="14"/>
                <w:lang w:eastAsia="es-ES"/>
              </w:rPr>
              <w:t>No. de programa registrados en el PNPC de reciente creación + No. de programa registrados en el PNPC en desarrollo (*2) + No. de programa registrados en el PNPC consolidados (*3) + No. de programa registrados en el PNPC de competencia internacional (*4)</w:t>
            </w:r>
            <w:r w:rsidR="00E75971" w:rsidRPr="00E75971">
              <w:rPr>
                <w:rFonts w:ascii="Arial Narrow" w:eastAsia="Times New Roman" w:hAnsi="Arial Narrow" w:cs="Arial"/>
                <w:bCs/>
                <w:noProof/>
                <w:color w:val="auto"/>
                <w:sz w:val="14"/>
                <w:szCs w:val="14"/>
                <w:lang w:eastAsia="es-ES"/>
              </w:rPr>
              <w:br/>
              <w:t>No. de Programas de Posgrado reconocidos en CONACYT en el PNPC (*4)</w:t>
            </w:r>
          </w:p>
        </w:tc>
        <w:tc>
          <w:tcPr>
            <w:tcW w:w="1095"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3"/>
                <w:szCs w:val="13"/>
                <w:lang w:val="es-MX" w:eastAsia="es-ES"/>
              </w:rPr>
            </w:pPr>
            <w:r w:rsidRPr="00E75971">
              <w:rPr>
                <w:rFonts w:ascii="Arial Narrow" w:eastAsia="Times New Roman" w:hAnsi="Arial Narrow" w:cs="Arial"/>
                <w:bCs/>
                <w:color w:val="auto"/>
                <w:sz w:val="13"/>
                <w:szCs w:val="13"/>
                <w:lang w:val="es-MX" w:eastAsia="es-ES"/>
              </w:rPr>
              <w:t>(4)+(1*2)+(2*3)+(0*4)=</w:t>
            </w:r>
          </w:p>
          <w:p w:rsidR="00E75971" w:rsidRPr="00E75971" w:rsidRDefault="00E75971" w:rsidP="00E75971">
            <w:pPr>
              <w:spacing w:after="0" w:line="240" w:lineRule="auto"/>
              <w:ind w:right="-1"/>
              <w:jc w:val="center"/>
              <w:rPr>
                <w:rFonts w:ascii="Arial Narrow" w:eastAsia="Times New Roman" w:hAnsi="Arial Narrow" w:cs="Arial"/>
                <w:bCs/>
                <w:color w:val="auto"/>
                <w:sz w:val="13"/>
                <w:szCs w:val="13"/>
                <w:lang w:val="es-MX" w:eastAsia="es-ES"/>
              </w:rPr>
            </w:pPr>
            <w:r w:rsidRPr="00E75971">
              <w:rPr>
                <w:rFonts w:ascii="Arial Narrow" w:eastAsia="Times New Roman" w:hAnsi="Arial Narrow" w:cs="Arial"/>
                <w:bCs/>
                <w:color w:val="auto"/>
                <w:sz w:val="13"/>
                <w:szCs w:val="13"/>
                <w:lang w:val="es-MX" w:eastAsia="es-ES"/>
              </w:rPr>
              <w:t>12</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3"/>
                <w:szCs w:val="13"/>
                <w:lang w:val="es-MX" w:eastAsia="es-ES"/>
              </w:rPr>
            </w:pPr>
            <w:r w:rsidRPr="00E75971">
              <w:rPr>
                <w:rFonts w:ascii="Arial Narrow" w:eastAsia="Times New Roman" w:hAnsi="Arial Narrow" w:cs="Arial"/>
                <w:bCs/>
                <w:color w:val="auto"/>
                <w:sz w:val="13"/>
                <w:szCs w:val="13"/>
                <w:lang w:val="es-MX" w:eastAsia="es-ES"/>
              </w:rPr>
              <w:t>(2)+(3*2)+(3*3)+(0*4)=</w:t>
            </w:r>
          </w:p>
          <w:p w:rsidR="00E75971" w:rsidRPr="00E75971" w:rsidRDefault="00E75971" w:rsidP="00E75971">
            <w:pPr>
              <w:spacing w:after="0" w:line="240" w:lineRule="auto"/>
              <w:ind w:right="-1"/>
              <w:jc w:val="center"/>
              <w:rPr>
                <w:rFonts w:ascii="Arial Narrow" w:eastAsia="Times New Roman" w:hAnsi="Arial Narrow" w:cs="Arial"/>
                <w:bCs/>
                <w:color w:val="auto"/>
                <w:sz w:val="13"/>
                <w:szCs w:val="13"/>
                <w:lang w:val="es-MX" w:eastAsia="es-ES"/>
              </w:rPr>
            </w:pPr>
            <w:r w:rsidRPr="00E75971">
              <w:rPr>
                <w:rFonts w:ascii="Arial Narrow" w:eastAsia="Times New Roman" w:hAnsi="Arial Narrow" w:cs="Arial"/>
                <w:bCs/>
                <w:color w:val="auto"/>
                <w:sz w:val="13"/>
                <w:szCs w:val="13"/>
                <w:lang w:val="es-MX" w:eastAsia="es-ES"/>
              </w:rPr>
              <w:t>17</w:t>
            </w:r>
          </w:p>
        </w:tc>
        <w:tc>
          <w:tcPr>
            <w:tcW w:w="109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3"/>
                <w:szCs w:val="13"/>
                <w:lang w:val="es-MX" w:eastAsia="es-ES"/>
              </w:rPr>
            </w:pPr>
            <w:r w:rsidRPr="00E75971">
              <w:rPr>
                <w:rFonts w:ascii="Arial Narrow" w:eastAsia="Times New Roman" w:hAnsi="Arial Narrow" w:cs="Arial"/>
                <w:bCs/>
                <w:color w:val="auto"/>
                <w:sz w:val="13"/>
                <w:szCs w:val="13"/>
                <w:lang w:val="es-MX" w:eastAsia="es-ES"/>
              </w:rPr>
              <w:t>(3)+(3*2)+(3*3)+(0*4)=</w:t>
            </w:r>
          </w:p>
          <w:p w:rsidR="00E75971" w:rsidRPr="00E75971" w:rsidRDefault="00E75971" w:rsidP="00E75971">
            <w:pPr>
              <w:spacing w:after="0" w:line="240" w:lineRule="auto"/>
              <w:ind w:right="-1"/>
              <w:jc w:val="center"/>
              <w:rPr>
                <w:rFonts w:ascii="Arial Narrow" w:eastAsia="Times New Roman" w:hAnsi="Arial Narrow" w:cs="Arial"/>
                <w:bCs/>
                <w:color w:val="auto"/>
                <w:sz w:val="13"/>
                <w:szCs w:val="13"/>
                <w:lang w:val="es-MX" w:eastAsia="es-ES"/>
              </w:rPr>
            </w:pPr>
            <w:r w:rsidRPr="00E75971">
              <w:rPr>
                <w:rFonts w:ascii="Arial Narrow" w:eastAsia="Times New Roman" w:hAnsi="Arial Narrow" w:cs="Arial"/>
                <w:bCs/>
                <w:color w:val="auto"/>
                <w:sz w:val="13"/>
                <w:szCs w:val="13"/>
                <w:lang w:val="es-MX" w:eastAsia="es-ES"/>
              </w:rPr>
              <w:t>18</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3"/>
                <w:szCs w:val="13"/>
                <w:lang w:val="es-MX" w:eastAsia="es-ES"/>
              </w:rPr>
            </w:pPr>
            <w:r w:rsidRPr="00E75971">
              <w:rPr>
                <w:rFonts w:ascii="Arial Narrow" w:eastAsia="Times New Roman" w:hAnsi="Arial Narrow" w:cs="Arial"/>
                <w:bCs/>
                <w:color w:val="auto"/>
                <w:sz w:val="13"/>
                <w:szCs w:val="13"/>
                <w:lang w:val="es-MX" w:eastAsia="es-ES"/>
              </w:rPr>
              <w:t>(3)+(3*2)+(3*3)+(2*4)=</w:t>
            </w:r>
          </w:p>
          <w:p w:rsidR="00E75971" w:rsidRPr="00E75971" w:rsidRDefault="00E75971" w:rsidP="00E75971">
            <w:pPr>
              <w:spacing w:after="0" w:line="240" w:lineRule="auto"/>
              <w:ind w:right="-1"/>
              <w:jc w:val="center"/>
              <w:rPr>
                <w:rFonts w:ascii="Arial Narrow" w:eastAsia="Times New Roman" w:hAnsi="Arial Narrow" w:cs="Arial"/>
                <w:bCs/>
                <w:color w:val="auto"/>
                <w:sz w:val="13"/>
                <w:szCs w:val="13"/>
                <w:lang w:val="es-MX" w:eastAsia="es-ES"/>
              </w:rPr>
            </w:pPr>
            <w:r w:rsidRPr="00E75971">
              <w:rPr>
                <w:rFonts w:ascii="Arial Narrow" w:eastAsia="Times New Roman" w:hAnsi="Arial Narrow" w:cs="Arial"/>
                <w:bCs/>
                <w:color w:val="auto"/>
                <w:sz w:val="13"/>
                <w:szCs w:val="13"/>
                <w:lang w:val="es-MX" w:eastAsia="es-ES"/>
              </w:rPr>
              <w:t>26</w:t>
            </w:r>
          </w:p>
        </w:tc>
        <w:tc>
          <w:tcPr>
            <w:tcW w:w="105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3"/>
                <w:szCs w:val="13"/>
                <w:lang w:val="es-MX" w:eastAsia="es-ES"/>
              </w:rPr>
            </w:pPr>
            <w:r w:rsidRPr="00E75971">
              <w:rPr>
                <w:rFonts w:ascii="Arial Narrow" w:eastAsia="Times New Roman" w:hAnsi="Arial Narrow" w:cs="Arial"/>
                <w:bCs/>
                <w:color w:val="auto"/>
                <w:sz w:val="13"/>
                <w:szCs w:val="13"/>
                <w:lang w:val="es-MX" w:eastAsia="es-ES"/>
              </w:rPr>
              <w:t>(2)+(4*2)+(4*3)+(2*4)=</w:t>
            </w:r>
          </w:p>
          <w:p w:rsidR="00E75971" w:rsidRPr="00E75971" w:rsidRDefault="00E75971" w:rsidP="00E75971">
            <w:pPr>
              <w:spacing w:after="0" w:line="240" w:lineRule="auto"/>
              <w:ind w:right="-1"/>
              <w:jc w:val="center"/>
              <w:rPr>
                <w:rFonts w:ascii="Arial Narrow" w:eastAsia="Times New Roman" w:hAnsi="Arial Narrow" w:cs="Arial"/>
                <w:bCs/>
                <w:color w:val="auto"/>
                <w:sz w:val="13"/>
                <w:szCs w:val="13"/>
                <w:lang w:val="es-MX" w:eastAsia="es-ES"/>
              </w:rPr>
            </w:pPr>
            <w:r w:rsidRPr="00E75971">
              <w:rPr>
                <w:rFonts w:ascii="Arial Narrow" w:eastAsia="Times New Roman" w:hAnsi="Arial Narrow" w:cs="Arial"/>
                <w:bCs/>
                <w:color w:val="auto"/>
                <w:sz w:val="13"/>
                <w:szCs w:val="13"/>
                <w:lang w:val="es-MX" w:eastAsia="es-ES"/>
              </w:rPr>
              <w:t>30</w:t>
            </w:r>
          </w:p>
        </w:tc>
      </w:tr>
      <w:tr w:rsidR="00E75971" w:rsidRPr="00E75971" w:rsidTr="00663E20">
        <w:trPr>
          <w:trHeight w:val="321"/>
          <w:jc w:val="center"/>
        </w:trPr>
        <w:tc>
          <w:tcPr>
            <w:tcW w:w="355" w:type="dxa"/>
            <w:vMerge/>
            <w:vAlign w:val="center"/>
          </w:tcPr>
          <w:p w:rsidR="00E75971" w:rsidRPr="00E75971" w:rsidRDefault="00E75971" w:rsidP="00E75971">
            <w:pPr>
              <w:spacing w:before="120" w:after="0" w:line="240" w:lineRule="auto"/>
              <w:jc w:val="center"/>
              <w:rPr>
                <w:rFonts w:ascii="Arial Narrow" w:eastAsia="Times New Roman" w:hAnsi="Arial Narrow" w:cs="Arial"/>
                <w:bCs/>
                <w:color w:val="auto"/>
                <w:sz w:val="16"/>
                <w:szCs w:val="18"/>
                <w:lang w:val="es-MX" w:eastAsia="es-ES"/>
              </w:rPr>
            </w:pPr>
          </w:p>
        </w:tc>
        <w:tc>
          <w:tcPr>
            <w:tcW w:w="1048"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p>
        </w:tc>
        <w:tc>
          <w:tcPr>
            <w:tcW w:w="2742" w:type="dxa"/>
            <w:vMerge/>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val="es-MX" w:eastAsia="es-MX"/>
              </w:rPr>
            </w:pPr>
          </w:p>
        </w:tc>
        <w:tc>
          <w:tcPr>
            <w:tcW w:w="1095"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7*4=28</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8*4=32</w:t>
            </w:r>
          </w:p>
        </w:tc>
        <w:tc>
          <w:tcPr>
            <w:tcW w:w="109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9*4=36</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9*4=36</w:t>
            </w:r>
          </w:p>
        </w:tc>
        <w:tc>
          <w:tcPr>
            <w:tcW w:w="105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9*4=36</w:t>
            </w:r>
          </w:p>
        </w:tc>
      </w:tr>
      <w:tr w:rsidR="00E75971" w:rsidRPr="00E75971" w:rsidTr="00663E20">
        <w:trPr>
          <w:trHeight w:val="321"/>
          <w:jc w:val="center"/>
        </w:trPr>
        <w:tc>
          <w:tcPr>
            <w:tcW w:w="355" w:type="dxa"/>
            <w:vMerge/>
            <w:vAlign w:val="center"/>
          </w:tcPr>
          <w:p w:rsidR="00E75971" w:rsidRPr="00E75971" w:rsidRDefault="00E75971" w:rsidP="00E75971">
            <w:pPr>
              <w:spacing w:before="120" w:after="0" w:line="240" w:lineRule="auto"/>
              <w:jc w:val="center"/>
              <w:rPr>
                <w:rFonts w:ascii="Arial Narrow" w:eastAsia="Times New Roman" w:hAnsi="Arial Narrow" w:cs="Arial"/>
                <w:bCs/>
                <w:color w:val="auto"/>
                <w:sz w:val="16"/>
                <w:szCs w:val="18"/>
                <w:lang w:val="es-MX" w:eastAsia="es-ES"/>
              </w:rPr>
            </w:pPr>
          </w:p>
        </w:tc>
        <w:tc>
          <w:tcPr>
            <w:tcW w:w="1048"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p>
        </w:tc>
        <w:tc>
          <w:tcPr>
            <w:tcW w:w="2742" w:type="dxa"/>
            <w:vMerge/>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val="es-MX" w:eastAsia="es-MX"/>
              </w:rPr>
            </w:pPr>
          </w:p>
        </w:tc>
        <w:tc>
          <w:tcPr>
            <w:tcW w:w="1095"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0.43</w:t>
            </w:r>
          </w:p>
        </w:tc>
        <w:tc>
          <w:tcPr>
            <w:tcW w:w="98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.53</w:t>
            </w:r>
          </w:p>
        </w:tc>
        <w:tc>
          <w:tcPr>
            <w:tcW w:w="109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.50</w:t>
            </w:r>
          </w:p>
        </w:tc>
        <w:tc>
          <w:tcPr>
            <w:tcW w:w="98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.72</w:t>
            </w:r>
          </w:p>
        </w:tc>
        <w:tc>
          <w:tcPr>
            <w:tcW w:w="105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.83</w:t>
            </w:r>
          </w:p>
        </w:tc>
      </w:tr>
      <w:tr w:rsidR="00E75971" w:rsidRPr="00E75971" w:rsidTr="00663E20">
        <w:trPr>
          <w:trHeight w:val="321"/>
          <w:jc w:val="center"/>
        </w:trPr>
        <w:tc>
          <w:tcPr>
            <w:tcW w:w="355" w:type="dxa"/>
            <w:vMerge w:val="restart"/>
            <w:vAlign w:val="center"/>
          </w:tcPr>
          <w:p w:rsidR="00E75971" w:rsidRPr="00E75971" w:rsidRDefault="00E75971" w:rsidP="00E75971">
            <w:pPr>
              <w:spacing w:before="120" w:after="0" w:line="240" w:lineRule="auto"/>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4</w:t>
            </w:r>
          </w:p>
        </w:tc>
        <w:tc>
          <w:tcPr>
            <w:tcW w:w="1048" w:type="dxa"/>
            <w:vMerge/>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val="restart"/>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val="es-MX" w:eastAsia="es-MX"/>
              </w:rPr>
            </w:pPr>
            <w:r w:rsidRPr="00E75971">
              <w:rPr>
                <w:rFonts w:ascii="Arial Narrow" w:eastAsia="Times New Roman" w:hAnsi="Arial Narrow" w:cs="Arial"/>
                <w:bCs/>
                <w:noProof/>
                <w:color w:val="auto"/>
                <w:sz w:val="16"/>
                <w:szCs w:val="18"/>
                <w:lang w:val="es-MX" w:eastAsia="es-MX"/>
              </w:rPr>
              <w:t>Generación de Recursos Humanos Especializados</w:t>
            </w:r>
          </w:p>
        </w:tc>
        <w:tc>
          <w:tcPr>
            <w:tcW w:w="2742" w:type="dxa"/>
            <w:vMerge w:val="restart"/>
            <w:vAlign w:val="center"/>
          </w:tcPr>
          <w:p w:rsidR="00E75971" w:rsidRPr="00E75971" w:rsidRDefault="00663E20" w:rsidP="00E75971">
            <w:pPr>
              <w:spacing w:before="60" w:line="240" w:lineRule="auto"/>
              <w:jc w:val="center"/>
              <w:rPr>
                <w:rFonts w:ascii="Arial Narrow" w:eastAsia="Times New Roman" w:hAnsi="Arial Narrow" w:cs="Arial"/>
                <w:bCs/>
                <w:noProof/>
                <w:color w:val="auto"/>
                <w:sz w:val="16"/>
                <w:szCs w:val="18"/>
                <w:lang w:eastAsia="es-ES"/>
              </w:rPr>
            </w:pPr>
            <w:r w:rsidRPr="00E75971">
              <w:rPr>
                <w:rFonts w:ascii="Arial Narrow" w:eastAsia="Times New Roman" w:hAnsi="Arial Narrow" w:cs="Arial"/>
                <w:bCs/>
                <w:noProof/>
                <w:color w:val="auto"/>
                <w:sz w:val="16"/>
                <w:szCs w:val="18"/>
                <w:lang w:val="es-MX" w:eastAsia="es-MX"/>
              </w:rPr>
              <mc:AlternateContent>
                <mc:Choice Requires="wps">
                  <w:drawing>
                    <wp:anchor distT="0" distB="0" distL="114300" distR="114300" simplePos="0" relativeHeight="251684864" behindDoc="0" locked="0" layoutInCell="1" allowOverlap="1" wp14:anchorId="672497D8" wp14:editId="01E2357B">
                      <wp:simplePos x="0" y="0"/>
                      <wp:positionH relativeFrom="column">
                        <wp:posOffset>40005</wp:posOffset>
                      </wp:positionH>
                      <wp:positionV relativeFrom="paragraph">
                        <wp:posOffset>728345</wp:posOffset>
                      </wp:positionV>
                      <wp:extent cx="1657350" cy="0"/>
                      <wp:effectExtent l="6350" t="10795" r="12700" b="8255"/>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18008" id="Conector recto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7.35pt" to="133.6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"/>
                  </w:pict>
                </mc:Fallback>
              </mc:AlternateContent>
            </w:r>
            <w:r w:rsidRPr="00E75971">
              <w:rPr>
                <w:rFonts w:ascii="Arial Narrow" w:eastAsia="Times New Roman" w:hAnsi="Arial Narrow" w:cs="Arial"/>
                <w:bCs/>
                <w:noProof/>
                <w:color w:val="000000" w:themeColor="text1"/>
                <w:sz w:val="16"/>
                <w:szCs w:val="18"/>
                <w:lang w:val="es-MX" w:eastAsia="es-MX"/>
              </w:rPr>
              <mc:AlternateContent>
                <mc:Choice Requires="wps">
                  <w:drawing>
                    <wp:anchor distT="0" distB="0" distL="114300" distR="114300" simplePos="0" relativeHeight="251682816" behindDoc="0" locked="0" layoutInCell="1" allowOverlap="1" wp14:anchorId="6B2F0B47" wp14:editId="06D08AB9">
                      <wp:simplePos x="0" y="0"/>
                      <wp:positionH relativeFrom="column">
                        <wp:posOffset>1270</wp:posOffset>
                      </wp:positionH>
                      <wp:positionV relativeFrom="paragraph">
                        <wp:posOffset>-635</wp:posOffset>
                      </wp:positionV>
                      <wp:extent cx="1693545" cy="0"/>
                      <wp:effectExtent l="0" t="0" r="20955" b="19050"/>
                      <wp:wrapNone/>
                      <wp:docPr id="23" name="Conector recto 23"/>
                      <wp:cNvGraphicFramePr/>
                      <a:graphic xmlns:a="http://schemas.openxmlformats.org/drawingml/2006/main">
                        <a:graphicData uri="http://schemas.microsoft.com/office/word/2010/wordprocessingShape">
                          <wps:wsp>
                            <wps:cNvCnPr/>
                            <wps:spPr>
                              <a:xfrm>
                                <a:off x="0" y="0"/>
                                <a:ext cx="16935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B0368" id="Conector recto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05pt" to="13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" strokecolor="#94b6d2 [3204]" strokeweight=".5pt">
                      <v:stroke joinstyle="miter"/>
                    </v:line>
                  </w:pict>
                </mc:Fallback>
              </mc:AlternateContent>
            </w:r>
            <w:r w:rsidR="00E75971" w:rsidRPr="00E75971">
              <w:rPr>
                <w:rFonts w:ascii="Arial Narrow" w:eastAsia="Times New Roman" w:hAnsi="Arial Narrow" w:cs="Arial"/>
                <w:bCs/>
                <w:noProof/>
                <w:color w:val="auto"/>
                <w:sz w:val="16"/>
                <w:szCs w:val="18"/>
                <w:lang w:eastAsia="es-ES"/>
              </w:rPr>
              <w:t>No. de alumnos graduados en programas de Especialidad del PNPC + No. de alumnos graduados en programas de Maestría del PNPC + No. de alumnos graduados en programas de Doctorado del PNPC</w:t>
            </w:r>
            <w:r w:rsidR="00E75971" w:rsidRPr="00E75971">
              <w:rPr>
                <w:rFonts w:ascii="Arial Narrow" w:eastAsia="Times New Roman" w:hAnsi="Arial Narrow" w:cs="Arial"/>
                <w:bCs/>
                <w:noProof/>
                <w:color w:val="auto"/>
                <w:sz w:val="14"/>
                <w:szCs w:val="18"/>
                <w:lang w:eastAsia="es-ES"/>
              </w:rPr>
              <w:br/>
            </w:r>
            <w:r w:rsidR="00E75971" w:rsidRPr="00E75971">
              <w:rPr>
                <w:rFonts w:ascii="Arial Narrow" w:eastAsia="Times New Roman" w:hAnsi="Arial Narrow" w:cs="Arial"/>
                <w:bCs/>
                <w:noProof/>
                <w:color w:val="auto"/>
                <w:sz w:val="16"/>
                <w:szCs w:val="18"/>
                <w:lang w:eastAsia="es-ES"/>
              </w:rPr>
              <w:t>No. De Investigadores del Centro</w:t>
            </w:r>
          </w:p>
        </w:tc>
        <w:tc>
          <w:tcPr>
            <w:tcW w:w="1095"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4"/>
                <w:szCs w:val="18"/>
                <w:lang w:val="en-US" w:eastAsia="es-ES"/>
              </w:rPr>
            </w:pPr>
            <w:r w:rsidRPr="00E75971">
              <w:rPr>
                <w:rFonts w:ascii="Arial Narrow" w:eastAsia="Times New Roman" w:hAnsi="Arial Narrow" w:cs="Arial"/>
                <w:bCs/>
                <w:color w:val="auto"/>
                <w:sz w:val="14"/>
                <w:szCs w:val="18"/>
                <w:lang w:val="en-US" w:eastAsia="es-ES"/>
              </w:rPr>
              <w:t>0+40+20=60</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4"/>
                <w:szCs w:val="18"/>
                <w:lang w:val="en-US" w:eastAsia="es-ES"/>
              </w:rPr>
            </w:pPr>
            <w:r w:rsidRPr="00E75971">
              <w:rPr>
                <w:rFonts w:ascii="Arial Narrow" w:eastAsia="Times New Roman" w:hAnsi="Arial Narrow" w:cs="Arial"/>
                <w:bCs/>
                <w:color w:val="auto"/>
                <w:sz w:val="14"/>
                <w:szCs w:val="18"/>
                <w:lang w:val="en-US" w:eastAsia="es-ES"/>
              </w:rPr>
              <w:t>0+0+0=0</w:t>
            </w:r>
          </w:p>
        </w:tc>
        <w:tc>
          <w:tcPr>
            <w:tcW w:w="109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4"/>
                <w:szCs w:val="18"/>
                <w:lang w:val="en-US" w:eastAsia="es-ES"/>
              </w:rPr>
            </w:pPr>
            <w:r w:rsidRPr="00E75971">
              <w:rPr>
                <w:rFonts w:ascii="Arial Narrow" w:eastAsia="Times New Roman" w:hAnsi="Arial Narrow" w:cs="Arial"/>
                <w:bCs/>
                <w:color w:val="auto"/>
                <w:sz w:val="14"/>
                <w:szCs w:val="18"/>
                <w:lang w:val="en-US" w:eastAsia="es-ES"/>
              </w:rPr>
              <w:t>0+40+0=40</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4"/>
                <w:szCs w:val="18"/>
                <w:lang w:val="en-US" w:eastAsia="es-ES"/>
              </w:rPr>
            </w:pPr>
            <w:r w:rsidRPr="00E75971">
              <w:rPr>
                <w:rFonts w:ascii="Arial Narrow" w:eastAsia="Times New Roman" w:hAnsi="Arial Narrow" w:cs="Arial"/>
                <w:bCs/>
                <w:color w:val="auto"/>
                <w:sz w:val="14"/>
                <w:szCs w:val="18"/>
                <w:lang w:val="en-US" w:eastAsia="es-ES"/>
              </w:rPr>
              <w:t>0+0+20=20</w:t>
            </w:r>
          </w:p>
        </w:tc>
        <w:tc>
          <w:tcPr>
            <w:tcW w:w="105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4"/>
                <w:szCs w:val="18"/>
                <w:lang w:val="en-US" w:eastAsia="es-ES"/>
              </w:rPr>
            </w:pPr>
            <w:r w:rsidRPr="00E75971">
              <w:rPr>
                <w:rFonts w:ascii="Arial Narrow" w:eastAsia="Times New Roman" w:hAnsi="Arial Narrow" w:cs="Arial"/>
                <w:bCs/>
                <w:color w:val="auto"/>
                <w:sz w:val="14"/>
                <w:szCs w:val="18"/>
                <w:lang w:val="en-US" w:eastAsia="es-ES"/>
              </w:rPr>
              <w:t>0+40+0=40</w:t>
            </w:r>
          </w:p>
        </w:tc>
      </w:tr>
      <w:tr w:rsidR="00E75971" w:rsidRPr="00E75971" w:rsidTr="00663E20">
        <w:trPr>
          <w:trHeight w:val="321"/>
          <w:jc w:val="center"/>
        </w:trPr>
        <w:tc>
          <w:tcPr>
            <w:tcW w:w="355" w:type="dxa"/>
            <w:vMerge/>
            <w:vAlign w:val="center"/>
          </w:tcPr>
          <w:p w:rsidR="00E75971" w:rsidRPr="00E75971" w:rsidRDefault="00E75971" w:rsidP="00E75971">
            <w:pPr>
              <w:spacing w:before="120" w:after="0" w:line="240" w:lineRule="auto"/>
              <w:jc w:val="center"/>
              <w:rPr>
                <w:rFonts w:ascii="Arial Narrow" w:eastAsia="Times New Roman" w:hAnsi="Arial Narrow" w:cs="Arial"/>
                <w:bCs/>
                <w:color w:val="auto"/>
                <w:sz w:val="16"/>
                <w:szCs w:val="18"/>
                <w:lang w:val="es-MX" w:eastAsia="es-ES"/>
              </w:rPr>
            </w:pPr>
          </w:p>
        </w:tc>
        <w:tc>
          <w:tcPr>
            <w:tcW w:w="1048" w:type="dxa"/>
            <w:vMerge/>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val="es-MX" w:eastAsia="es-MX"/>
              </w:rPr>
            </w:pPr>
          </w:p>
        </w:tc>
        <w:tc>
          <w:tcPr>
            <w:tcW w:w="2742" w:type="dxa"/>
            <w:vMerge/>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p>
        </w:tc>
        <w:tc>
          <w:tcPr>
            <w:tcW w:w="1095"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n-US" w:eastAsia="es-ES"/>
              </w:rPr>
              <w:t>50</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54</w:t>
            </w:r>
          </w:p>
        </w:tc>
        <w:tc>
          <w:tcPr>
            <w:tcW w:w="109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58</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60</w:t>
            </w:r>
          </w:p>
        </w:tc>
        <w:tc>
          <w:tcPr>
            <w:tcW w:w="105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60</w:t>
            </w:r>
          </w:p>
        </w:tc>
      </w:tr>
      <w:tr w:rsidR="00E75971" w:rsidRPr="00E75971" w:rsidTr="00663E20">
        <w:trPr>
          <w:trHeight w:val="321"/>
          <w:jc w:val="center"/>
        </w:trPr>
        <w:tc>
          <w:tcPr>
            <w:tcW w:w="355" w:type="dxa"/>
            <w:vMerge/>
            <w:vAlign w:val="center"/>
          </w:tcPr>
          <w:p w:rsidR="00E75971" w:rsidRPr="00E75971" w:rsidRDefault="00E75971" w:rsidP="00E75971">
            <w:pPr>
              <w:spacing w:before="120" w:after="0" w:line="240" w:lineRule="auto"/>
              <w:jc w:val="center"/>
              <w:rPr>
                <w:rFonts w:ascii="Arial Narrow" w:eastAsia="Times New Roman" w:hAnsi="Arial Narrow" w:cs="Arial"/>
                <w:bCs/>
                <w:color w:val="auto"/>
                <w:sz w:val="16"/>
                <w:szCs w:val="18"/>
                <w:lang w:val="es-MX" w:eastAsia="es-ES"/>
              </w:rPr>
            </w:pPr>
          </w:p>
        </w:tc>
        <w:tc>
          <w:tcPr>
            <w:tcW w:w="1048" w:type="dxa"/>
            <w:vMerge/>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val="es-MX" w:eastAsia="es-MX"/>
              </w:rPr>
            </w:pPr>
          </w:p>
        </w:tc>
        <w:tc>
          <w:tcPr>
            <w:tcW w:w="2742" w:type="dxa"/>
            <w:vMerge/>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p>
        </w:tc>
        <w:tc>
          <w:tcPr>
            <w:tcW w:w="1095"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1.2</w:t>
            </w:r>
          </w:p>
        </w:tc>
        <w:tc>
          <w:tcPr>
            <w:tcW w:w="98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w:t>
            </w:r>
          </w:p>
        </w:tc>
        <w:tc>
          <w:tcPr>
            <w:tcW w:w="109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0.68</w:t>
            </w:r>
          </w:p>
        </w:tc>
        <w:tc>
          <w:tcPr>
            <w:tcW w:w="98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0.33</w:t>
            </w:r>
          </w:p>
        </w:tc>
        <w:tc>
          <w:tcPr>
            <w:tcW w:w="105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0.66</w:t>
            </w:r>
          </w:p>
        </w:tc>
      </w:tr>
      <w:tr w:rsidR="00E75971" w:rsidRPr="00E75971" w:rsidTr="00663E20">
        <w:trPr>
          <w:trHeight w:val="321"/>
          <w:jc w:val="center"/>
        </w:trPr>
        <w:tc>
          <w:tcPr>
            <w:tcW w:w="355" w:type="dxa"/>
            <w:vMerge w:val="restart"/>
            <w:vAlign w:val="center"/>
          </w:tcPr>
          <w:p w:rsidR="00E75971" w:rsidRPr="00E75971" w:rsidRDefault="00E75971" w:rsidP="00E75971">
            <w:pPr>
              <w:spacing w:before="120" w:after="0" w:line="240" w:lineRule="auto"/>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5</w:t>
            </w:r>
          </w:p>
        </w:tc>
        <w:tc>
          <w:tcPr>
            <w:tcW w:w="1048" w:type="dxa"/>
            <w:vMerge w:val="restart"/>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Vinculación</w:t>
            </w:r>
          </w:p>
        </w:tc>
        <w:tc>
          <w:tcPr>
            <w:tcW w:w="1134" w:type="dxa"/>
            <w:vMerge w:val="restart"/>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r w:rsidRPr="00E75971">
              <w:rPr>
                <w:rFonts w:ascii="Arial Narrow" w:eastAsia="Times New Roman" w:hAnsi="Arial Narrow" w:cs="Arial"/>
                <w:bCs/>
                <w:noProof/>
                <w:color w:val="auto"/>
                <w:sz w:val="16"/>
                <w:szCs w:val="18"/>
                <w:lang w:eastAsia="es-ES"/>
              </w:rPr>
              <w:t>Proyectos Interinstitucionales</w:t>
            </w:r>
          </w:p>
        </w:tc>
        <w:tc>
          <w:tcPr>
            <w:tcW w:w="2742" w:type="dxa"/>
            <w:vMerge w:val="restart"/>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r w:rsidRPr="00E75971">
              <w:rPr>
                <w:rFonts w:ascii="Arial Narrow" w:eastAsia="Times New Roman" w:hAnsi="Arial Narrow" w:cs="Arial"/>
                <w:bCs/>
                <w:noProof/>
                <w:color w:val="auto"/>
                <w:sz w:val="16"/>
                <w:szCs w:val="18"/>
                <w:lang w:val="es-MX" w:eastAsia="es-MX"/>
              </w:rPr>
              <mc:AlternateContent>
                <mc:Choice Requires="wps">
                  <w:drawing>
                    <wp:anchor distT="0" distB="0" distL="114300" distR="114300" simplePos="0" relativeHeight="251672576" behindDoc="0" locked="0" layoutInCell="1" allowOverlap="1">
                      <wp:simplePos x="0" y="0"/>
                      <wp:positionH relativeFrom="column">
                        <wp:posOffset>89314</wp:posOffset>
                      </wp:positionH>
                      <wp:positionV relativeFrom="paragraph">
                        <wp:posOffset>158750</wp:posOffset>
                      </wp:positionV>
                      <wp:extent cx="1657350" cy="0"/>
                      <wp:effectExtent l="6350" t="10795" r="12700" b="825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3B9EC" id="Conector recto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5pt" to="137.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oWGQ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"/>
                  </w:pict>
                </mc:Fallback>
              </mc:AlternateContent>
            </w:r>
            <w:r w:rsidRPr="00E75971">
              <w:rPr>
                <w:rFonts w:ascii="Arial Narrow" w:eastAsia="Times New Roman" w:hAnsi="Arial Narrow" w:cs="Arial"/>
                <w:bCs/>
                <w:noProof/>
                <w:color w:val="auto"/>
                <w:sz w:val="16"/>
                <w:szCs w:val="18"/>
                <w:lang w:eastAsia="es-ES"/>
              </w:rPr>
              <w:t>No. de Proyectos Interinstitucionales</w:t>
            </w:r>
            <w:r w:rsidRPr="00E75971">
              <w:rPr>
                <w:rFonts w:ascii="Arial Narrow" w:eastAsia="Times New Roman" w:hAnsi="Arial Narrow" w:cs="Arial"/>
                <w:bCs/>
                <w:color w:val="auto"/>
                <w:sz w:val="16"/>
                <w:szCs w:val="18"/>
                <w:lang w:val="es-MX" w:eastAsia="es-ES"/>
              </w:rPr>
              <w:t xml:space="preserve"> </w:t>
            </w:r>
            <w:r w:rsidRPr="00E75971">
              <w:rPr>
                <w:rFonts w:ascii="Arial Narrow" w:eastAsia="Times New Roman" w:hAnsi="Arial Narrow" w:cs="Arial"/>
                <w:bCs/>
                <w:color w:val="auto"/>
                <w:sz w:val="16"/>
                <w:szCs w:val="18"/>
                <w:lang w:val="es-MX" w:eastAsia="es-ES"/>
              </w:rPr>
              <w:br/>
              <w:t>No. de Proyectos de Investigación</w:t>
            </w:r>
          </w:p>
        </w:tc>
        <w:tc>
          <w:tcPr>
            <w:tcW w:w="1095"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6</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6</w:t>
            </w:r>
          </w:p>
        </w:tc>
        <w:tc>
          <w:tcPr>
            <w:tcW w:w="109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8</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10</w:t>
            </w:r>
          </w:p>
        </w:tc>
        <w:tc>
          <w:tcPr>
            <w:tcW w:w="105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10</w:t>
            </w:r>
          </w:p>
        </w:tc>
      </w:tr>
      <w:tr w:rsidR="00E75971" w:rsidRPr="00E75971" w:rsidTr="00663E20">
        <w:trPr>
          <w:trHeight w:val="321"/>
          <w:jc w:val="center"/>
        </w:trPr>
        <w:tc>
          <w:tcPr>
            <w:tcW w:w="355" w:type="dxa"/>
            <w:vMerge/>
            <w:vAlign w:val="center"/>
          </w:tcPr>
          <w:p w:rsidR="00E75971" w:rsidRPr="00E75971" w:rsidRDefault="00E75971" w:rsidP="00E75971">
            <w:pPr>
              <w:spacing w:before="120" w:after="0" w:line="240" w:lineRule="auto"/>
              <w:jc w:val="center"/>
              <w:rPr>
                <w:rFonts w:ascii="Arial Narrow" w:eastAsia="Times New Roman" w:hAnsi="Arial Narrow" w:cs="Arial"/>
                <w:bCs/>
                <w:color w:val="auto"/>
                <w:sz w:val="16"/>
                <w:szCs w:val="18"/>
                <w:lang w:val="es-MX" w:eastAsia="es-ES"/>
              </w:rPr>
            </w:pPr>
          </w:p>
        </w:tc>
        <w:tc>
          <w:tcPr>
            <w:tcW w:w="1048"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p>
        </w:tc>
        <w:tc>
          <w:tcPr>
            <w:tcW w:w="2742" w:type="dxa"/>
            <w:vMerge/>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p>
        </w:tc>
        <w:tc>
          <w:tcPr>
            <w:tcW w:w="1095"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50</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54</w:t>
            </w:r>
          </w:p>
        </w:tc>
        <w:tc>
          <w:tcPr>
            <w:tcW w:w="109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58</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60</w:t>
            </w:r>
          </w:p>
        </w:tc>
        <w:tc>
          <w:tcPr>
            <w:tcW w:w="105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60</w:t>
            </w:r>
          </w:p>
        </w:tc>
      </w:tr>
      <w:tr w:rsidR="00E75971" w:rsidRPr="00E75971" w:rsidTr="00663E20">
        <w:trPr>
          <w:trHeight w:val="321"/>
          <w:jc w:val="center"/>
        </w:trPr>
        <w:tc>
          <w:tcPr>
            <w:tcW w:w="355" w:type="dxa"/>
            <w:vMerge/>
            <w:tcBorders>
              <w:bottom w:val="single" w:sz="12" w:space="0" w:color="auto"/>
            </w:tcBorders>
            <w:vAlign w:val="center"/>
          </w:tcPr>
          <w:p w:rsidR="00E75971" w:rsidRPr="00E75971" w:rsidRDefault="00E75971" w:rsidP="00E75971">
            <w:pPr>
              <w:spacing w:before="120" w:after="0" w:line="240" w:lineRule="auto"/>
              <w:jc w:val="center"/>
              <w:rPr>
                <w:rFonts w:ascii="Arial Narrow" w:eastAsia="Times New Roman" w:hAnsi="Arial Narrow" w:cs="Arial"/>
                <w:bCs/>
                <w:color w:val="auto"/>
                <w:sz w:val="16"/>
                <w:szCs w:val="18"/>
                <w:lang w:val="es-MX" w:eastAsia="es-ES"/>
              </w:rPr>
            </w:pPr>
          </w:p>
        </w:tc>
        <w:tc>
          <w:tcPr>
            <w:tcW w:w="1048" w:type="dxa"/>
            <w:vMerge/>
            <w:tcBorders>
              <w:bottom w:val="single" w:sz="12" w:space="0" w:color="auto"/>
            </w:tcBorders>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tcBorders>
              <w:bottom w:val="single" w:sz="12" w:space="0" w:color="auto"/>
            </w:tcBorders>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p>
        </w:tc>
        <w:tc>
          <w:tcPr>
            <w:tcW w:w="2742" w:type="dxa"/>
            <w:vMerge/>
            <w:tcBorders>
              <w:bottom w:val="single" w:sz="12" w:space="0" w:color="auto"/>
            </w:tcBorders>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p>
        </w:tc>
        <w:tc>
          <w:tcPr>
            <w:tcW w:w="1095"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0.12</w:t>
            </w:r>
          </w:p>
        </w:tc>
        <w:tc>
          <w:tcPr>
            <w:tcW w:w="98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0.11</w:t>
            </w:r>
          </w:p>
        </w:tc>
        <w:tc>
          <w:tcPr>
            <w:tcW w:w="109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0.13</w:t>
            </w:r>
          </w:p>
        </w:tc>
        <w:tc>
          <w:tcPr>
            <w:tcW w:w="98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0.16</w:t>
            </w:r>
          </w:p>
        </w:tc>
        <w:tc>
          <w:tcPr>
            <w:tcW w:w="105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0.16</w:t>
            </w:r>
          </w:p>
        </w:tc>
      </w:tr>
      <w:tr w:rsidR="00E75971" w:rsidRPr="00E75971" w:rsidTr="00663E20">
        <w:trPr>
          <w:trHeight w:val="321"/>
          <w:jc w:val="center"/>
        </w:trPr>
        <w:tc>
          <w:tcPr>
            <w:tcW w:w="355" w:type="dxa"/>
            <w:vMerge w:val="restart"/>
            <w:tcBorders>
              <w:top w:val="single" w:sz="12" w:space="0" w:color="auto"/>
              <w:left w:val="single" w:sz="12" w:space="0" w:color="auto"/>
              <w:bottom w:val="single" w:sz="12" w:space="0" w:color="auto"/>
              <w:right w:val="single" w:sz="12" w:space="0" w:color="auto"/>
            </w:tcBorders>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6</w:t>
            </w:r>
          </w:p>
        </w:tc>
        <w:tc>
          <w:tcPr>
            <w:tcW w:w="1048" w:type="dxa"/>
            <w:vMerge w:val="restart"/>
            <w:tcBorders>
              <w:top w:val="single" w:sz="12" w:space="0" w:color="auto"/>
              <w:left w:val="single" w:sz="12" w:space="0" w:color="auto"/>
              <w:right w:val="single" w:sz="12" w:space="0" w:color="auto"/>
            </w:tcBorders>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Transferencia del Conocimiento e Innovación</w:t>
            </w: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val="es-MX" w:eastAsia="es-MX"/>
              </w:rPr>
            </w:pPr>
            <w:r w:rsidRPr="00E75971">
              <w:rPr>
                <w:rFonts w:ascii="Arial Narrow" w:eastAsia="Times New Roman" w:hAnsi="Arial Narrow" w:cs="Arial"/>
                <w:bCs/>
                <w:color w:val="auto"/>
                <w:sz w:val="16"/>
                <w:szCs w:val="18"/>
                <w:lang w:val="es-MX" w:eastAsia="es-ES"/>
              </w:rPr>
              <w:t>Transferencia de Conocimiento</w:t>
            </w:r>
            <w:r w:rsidRPr="00E75971">
              <w:rPr>
                <w:rFonts w:ascii="Arial Narrow" w:eastAsia="Times New Roman" w:hAnsi="Arial Narrow" w:cs="Arial"/>
                <w:bCs/>
                <w:noProof/>
                <w:color w:val="auto"/>
                <w:sz w:val="16"/>
                <w:szCs w:val="18"/>
                <w:lang w:val="es-MX" w:eastAsia="es-MX"/>
              </w:rPr>
              <w:t xml:space="preserve"> </w:t>
            </w:r>
          </w:p>
        </w:tc>
        <w:tc>
          <w:tcPr>
            <w:tcW w:w="2742" w:type="dxa"/>
            <w:vMerge w:val="restart"/>
            <w:tcBorders>
              <w:top w:val="single" w:sz="12" w:space="0" w:color="auto"/>
              <w:left w:val="single" w:sz="12" w:space="0" w:color="auto"/>
              <w:bottom w:val="single" w:sz="12" w:space="0" w:color="auto"/>
            </w:tcBorders>
          </w:tcPr>
          <w:p w:rsidR="00E75971" w:rsidRPr="00E75971" w:rsidRDefault="00663E20" w:rsidP="00E75971">
            <w:pPr>
              <w:spacing w:before="60" w:line="240" w:lineRule="auto"/>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noProof/>
                <w:color w:val="auto"/>
                <w:sz w:val="16"/>
                <w:szCs w:val="18"/>
                <w:lang w:val="es-MX" w:eastAsia="es-MX"/>
              </w:rPr>
              <mc:AlternateContent>
                <mc:Choice Requires="wps">
                  <w:drawing>
                    <wp:anchor distT="0" distB="0" distL="114300" distR="114300" simplePos="0" relativeHeight="251697152" behindDoc="0" locked="0" layoutInCell="1" allowOverlap="1" wp14:anchorId="09371444" wp14:editId="21113CB6">
                      <wp:simplePos x="0" y="0"/>
                      <wp:positionH relativeFrom="column">
                        <wp:posOffset>-23854</wp:posOffset>
                      </wp:positionH>
                      <wp:positionV relativeFrom="paragraph">
                        <wp:posOffset>459243</wp:posOffset>
                      </wp:positionV>
                      <wp:extent cx="1594485" cy="0"/>
                      <wp:effectExtent l="9525" t="10160" r="5715" b="8890"/>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6A7559" id="_x0000_t32" coordsize="21600,21600" o:spt="32" o:oned="t" path="m,l21600,21600e" filled="f">
                      <v:path arrowok="t" fillok="f" o:connecttype="none"/>
                      <o:lock v:ext="edit" shapetype="t"/>
                    </v:shapetype>
                    <v:shape id="Conector recto de flecha 31" o:spid="_x0000_s1026" type="#_x0000_t32" style="position:absolute;margin-left:-1.9pt;margin-top:36.15pt;width:125.5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"/>
                  </w:pict>
                </mc:Fallback>
              </mc:AlternateContent>
            </w:r>
            <w:r w:rsidR="00E75971" w:rsidRPr="00E75971">
              <w:rPr>
                <w:rFonts w:ascii="Arial Narrow" w:eastAsia="Times New Roman" w:hAnsi="Arial Narrow" w:cs="Arial"/>
                <w:bCs/>
                <w:color w:val="auto"/>
                <w:sz w:val="14"/>
                <w:szCs w:val="18"/>
                <w:lang w:val="es-MX" w:eastAsia="es-ES"/>
              </w:rPr>
              <w:t>No. de contratos o convenios de transferencia de conocimiento, innovación tecnológica, social, económica o ambiental. Firmados, vigentes alineados al PECITI en el año n</w:t>
            </w:r>
            <w:r w:rsidR="00E75971" w:rsidRPr="00E75971">
              <w:rPr>
                <w:rFonts w:ascii="Arial Narrow" w:eastAsia="Times New Roman" w:hAnsi="Arial Narrow" w:cs="Arial"/>
                <w:bCs/>
                <w:color w:val="auto"/>
                <w:sz w:val="14"/>
                <w:szCs w:val="18"/>
                <w:lang w:val="es-MX" w:eastAsia="es-ES"/>
              </w:rPr>
              <w:br/>
              <w:t>No. de contratos o convenios de transferencia de conocimiento, innovación tecnológica, social, económica o ambiental. Firmados, vigentes alineados al PECITI en el año n-1</w:t>
            </w:r>
          </w:p>
        </w:tc>
        <w:tc>
          <w:tcPr>
            <w:tcW w:w="1095"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100</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108</w:t>
            </w:r>
          </w:p>
        </w:tc>
        <w:tc>
          <w:tcPr>
            <w:tcW w:w="109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116</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120</w:t>
            </w:r>
          </w:p>
        </w:tc>
        <w:tc>
          <w:tcPr>
            <w:tcW w:w="105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125</w:t>
            </w:r>
          </w:p>
        </w:tc>
      </w:tr>
      <w:tr w:rsidR="00E75971" w:rsidRPr="00E75971" w:rsidTr="00663E20">
        <w:trPr>
          <w:trHeight w:val="321"/>
          <w:jc w:val="center"/>
        </w:trPr>
        <w:tc>
          <w:tcPr>
            <w:tcW w:w="355" w:type="dxa"/>
            <w:vMerge/>
            <w:tcBorders>
              <w:top w:val="single" w:sz="12" w:space="0" w:color="auto"/>
              <w:left w:val="single" w:sz="12" w:space="0" w:color="auto"/>
              <w:bottom w:val="single" w:sz="12" w:space="0" w:color="auto"/>
              <w:right w:val="single" w:sz="12" w:space="0" w:color="auto"/>
            </w:tcBorders>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048" w:type="dxa"/>
            <w:vMerge/>
            <w:tcBorders>
              <w:left w:val="single" w:sz="12" w:space="0" w:color="auto"/>
              <w:right w:val="single" w:sz="12" w:space="0" w:color="auto"/>
            </w:tcBorders>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tcBorders>
              <w:top w:val="single" w:sz="12" w:space="0" w:color="auto"/>
              <w:left w:val="single" w:sz="12" w:space="0" w:color="auto"/>
              <w:bottom w:val="single" w:sz="12" w:space="0" w:color="auto"/>
              <w:right w:val="single" w:sz="12" w:space="0" w:color="auto"/>
            </w:tcBorders>
            <w:vAlign w:val="center"/>
          </w:tcPr>
          <w:p w:rsidR="00E75971" w:rsidRPr="00E75971" w:rsidRDefault="00E75971" w:rsidP="00E75971">
            <w:pPr>
              <w:spacing w:before="60" w:line="240" w:lineRule="auto"/>
              <w:jc w:val="center"/>
              <w:rPr>
                <w:rFonts w:ascii="Arial Narrow" w:eastAsia="Times New Roman" w:hAnsi="Arial Narrow" w:cs="Arial"/>
                <w:bCs/>
                <w:color w:val="auto"/>
                <w:sz w:val="16"/>
                <w:szCs w:val="18"/>
                <w:lang w:val="es-MX" w:eastAsia="es-ES"/>
              </w:rPr>
            </w:pPr>
          </w:p>
        </w:tc>
        <w:tc>
          <w:tcPr>
            <w:tcW w:w="2742" w:type="dxa"/>
            <w:vMerge/>
            <w:tcBorders>
              <w:top w:val="single" w:sz="12" w:space="0" w:color="auto"/>
              <w:left w:val="single" w:sz="12" w:space="0" w:color="auto"/>
              <w:bottom w:val="single" w:sz="12" w:space="0" w:color="auto"/>
            </w:tcBorders>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val="es-MX" w:eastAsia="es-MX"/>
              </w:rPr>
            </w:pPr>
          </w:p>
        </w:tc>
        <w:tc>
          <w:tcPr>
            <w:tcW w:w="1095" w:type="dxa"/>
            <w:tcBorders>
              <w:top w:val="single" w:sz="12" w:space="0" w:color="auto"/>
            </w:tcBorders>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118</w:t>
            </w:r>
          </w:p>
        </w:tc>
        <w:tc>
          <w:tcPr>
            <w:tcW w:w="986" w:type="dxa"/>
            <w:tcBorders>
              <w:top w:val="single" w:sz="12" w:space="0" w:color="auto"/>
            </w:tcBorders>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100</w:t>
            </w:r>
          </w:p>
        </w:tc>
        <w:tc>
          <w:tcPr>
            <w:tcW w:w="1096" w:type="dxa"/>
            <w:tcBorders>
              <w:top w:val="single" w:sz="12" w:space="0" w:color="auto"/>
            </w:tcBorders>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108</w:t>
            </w:r>
          </w:p>
        </w:tc>
        <w:tc>
          <w:tcPr>
            <w:tcW w:w="986" w:type="dxa"/>
            <w:tcBorders>
              <w:top w:val="single" w:sz="12" w:space="0" w:color="auto"/>
            </w:tcBorders>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116</w:t>
            </w:r>
          </w:p>
        </w:tc>
        <w:tc>
          <w:tcPr>
            <w:tcW w:w="1056" w:type="dxa"/>
            <w:tcBorders>
              <w:top w:val="single" w:sz="12" w:space="0" w:color="auto"/>
            </w:tcBorders>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120</w:t>
            </w:r>
          </w:p>
        </w:tc>
      </w:tr>
      <w:tr w:rsidR="00E75971" w:rsidRPr="00E75971" w:rsidTr="00663E20">
        <w:trPr>
          <w:trHeight w:val="321"/>
          <w:jc w:val="center"/>
        </w:trPr>
        <w:tc>
          <w:tcPr>
            <w:tcW w:w="355" w:type="dxa"/>
            <w:vMerge/>
            <w:tcBorders>
              <w:top w:val="single" w:sz="12" w:space="0" w:color="auto"/>
              <w:left w:val="single" w:sz="12" w:space="0" w:color="auto"/>
              <w:bottom w:val="single" w:sz="12" w:space="0" w:color="auto"/>
              <w:right w:val="single" w:sz="12" w:space="0" w:color="auto"/>
            </w:tcBorders>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048" w:type="dxa"/>
            <w:vMerge/>
            <w:tcBorders>
              <w:left w:val="single" w:sz="12" w:space="0" w:color="auto"/>
              <w:right w:val="single" w:sz="12" w:space="0" w:color="auto"/>
            </w:tcBorders>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tcBorders>
              <w:top w:val="single" w:sz="12" w:space="0" w:color="auto"/>
              <w:left w:val="single" w:sz="12" w:space="0" w:color="auto"/>
              <w:bottom w:val="single" w:sz="12" w:space="0" w:color="auto"/>
              <w:right w:val="single" w:sz="12" w:space="0" w:color="auto"/>
            </w:tcBorders>
            <w:vAlign w:val="center"/>
          </w:tcPr>
          <w:p w:rsidR="00E75971" w:rsidRPr="00E75971" w:rsidRDefault="00E75971" w:rsidP="00E75971">
            <w:pPr>
              <w:spacing w:before="60" w:line="240" w:lineRule="auto"/>
              <w:jc w:val="center"/>
              <w:rPr>
                <w:rFonts w:ascii="Arial Narrow" w:eastAsia="Times New Roman" w:hAnsi="Arial Narrow" w:cs="Arial"/>
                <w:bCs/>
                <w:color w:val="auto"/>
                <w:sz w:val="16"/>
                <w:szCs w:val="18"/>
                <w:lang w:val="es-MX" w:eastAsia="es-ES"/>
              </w:rPr>
            </w:pPr>
          </w:p>
        </w:tc>
        <w:tc>
          <w:tcPr>
            <w:tcW w:w="2742" w:type="dxa"/>
            <w:vMerge/>
            <w:tcBorders>
              <w:top w:val="single" w:sz="12" w:space="0" w:color="auto"/>
              <w:left w:val="single" w:sz="12" w:space="0" w:color="auto"/>
              <w:bottom w:val="single" w:sz="12" w:space="0" w:color="auto"/>
            </w:tcBorders>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val="es-MX" w:eastAsia="es-MX"/>
              </w:rPr>
            </w:pPr>
          </w:p>
        </w:tc>
        <w:tc>
          <w:tcPr>
            <w:tcW w:w="1095" w:type="dxa"/>
            <w:tcBorders>
              <w:top w:val="single" w:sz="12" w:space="0" w:color="auto"/>
            </w:tcBorders>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.85</w:t>
            </w:r>
          </w:p>
        </w:tc>
        <w:tc>
          <w:tcPr>
            <w:tcW w:w="986" w:type="dxa"/>
            <w:tcBorders>
              <w:top w:val="single" w:sz="12" w:space="0" w:color="auto"/>
            </w:tcBorders>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.08</w:t>
            </w:r>
          </w:p>
        </w:tc>
        <w:tc>
          <w:tcPr>
            <w:tcW w:w="1096" w:type="dxa"/>
            <w:tcBorders>
              <w:top w:val="single" w:sz="12" w:space="0" w:color="auto"/>
            </w:tcBorders>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.07</w:t>
            </w:r>
          </w:p>
        </w:tc>
        <w:tc>
          <w:tcPr>
            <w:tcW w:w="986" w:type="dxa"/>
            <w:tcBorders>
              <w:top w:val="single" w:sz="12" w:space="0" w:color="auto"/>
            </w:tcBorders>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.03</w:t>
            </w:r>
          </w:p>
        </w:tc>
        <w:tc>
          <w:tcPr>
            <w:tcW w:w="1056" w:type="dxa"/>
            <w:tcBorders>
              <w:top w:val="single" w:sz="12" w:space="0" w:color="auto"/>
            </w:tcBorders>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.04</w:t>
            </w:r>
          </w:p>
        </w:tc>
      </w:tr>
      <w:tr w:rsidR="00E75971" w:rsidRPr="00E75971" w:rsidTr="00663E20">
        <w:trPr>
          <w:trHeight w:val="321"/>
          <w:jc w:val="center"/>
        </w:trPr>
        <w:tc>
          <w:tcPr>
            <w:tcW w:w="355" w:type="dxa"/>
            <w:vMerge w:val="restart"/>
            <w:tcBorders>
              <w:top w:val="single" w:sz="12" w:space="0" w:color="auto"/>
              <w:left w:val="single" w:sz="12" w:space="0" w:color="auto"/>
              <w:bottom w:val="single" w:sz="12" w:space="0" w:color="auto"/>
              <w:right w:val="single" w:sz="12" w:space="0" w:color="auto"/>
            </w:tcBorders>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7</w:t>
            </w:r>
          </w:p>
        </w:tc>
        <w:tc>
          <w:tcPr>
            <w:tcW w:w="1048" w:type="dxa"/>
            <w:vMerge/>
            <w:tcBorders>
              <w:left w:val="single" w:sz="12" w:space="0" w:color="auto"/>
              <w:right w:val="single" w:sz="12" w:space="0" w:color="auto"/>
            </w:tcBorders>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r w:rsidRPr="00E75971">
              <w:rPr>
                <w:rFonts w:ascii="Arial Narrow" w:eastAsia="Times New Roman" w:hAnsi="Arial Narrow" w:cs="Arial"/>
                <w:bCs/>
                <w:noProof/>
                <w:color w:val="auto"/>
                <w:sz w:val="16"/>
                <w:szCs w:val="18"/>
                <w:lang w:eastAsia="es-ES"/>
              </w:rPr>
              <w:t>Propiedad Intelectual</w:t>
            </w:r>
          </w:p>
        </w:tc>
        <w:tc>
          <w:tcPr>
            <w:tcW w:w="2742" w:type="dxa"/>
            <w:vMerge w:val="restart"/>
            <w:tcBorders>
              <w:top w:val="single" w:sz="12" w:space="0" w:color="auto"/>
              <w:left w:val="single" w:sz="12" w:space="0" w:color="auto"/>
              <w:bottom w:val="single" w:sz="12" w:space="0" w:color="auto"/>
            </w:tcBorders>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val="es-MX" w:eastAsia="es-MX"/>
              </w:rPr>
            </w:pPr>
            <w:r w:rsidRPr="00E75971">
              <w:rPr>
                <w:rFonts w:ascii="Arial Narrow" w:eastAsia="Times New Roman" w:hAnsi="Arial Narrow" w:cs="Arial"/>
                <w:bCs/>
                <w:noProof/>
                <w:color w:val="auto"/>
                <w:sz w:val="16"/>
                <w:szCs w:val="18"/>
                <w:lang w:val="es-MX" w:eastAsia="es-MX"/>
              </w:rPr>
              <w:t>No. de derechos de autor en el año n</w:t>
            </w:r>
          </w:p>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val="es-MX" w:eastAsia="es-MX"/>
              </w:rPr>
            </w:pPr>
            <w:r w:rsidRPr="00E75971">
              <w:rPr>
                <w:rFonts w:ascii="Arial Narrow" w:eastAsia="Times New Roman" w:hAnsi="Arial Narrow" w:cs="Arial"/>
                <w:bCs/>
                <w:noProof/>
                <w:color w:val="auto"/>
                <w:sz w:val="16"/>
                <w:szCs w:val="18"/>
                <w:lang w:val="es-MX" w:eastAsia="es-MX"/>
              </w:rPr>
              <w:t>No. de derechos de autor en el año n-1</w:t>
            </w:r>
          </w:p>
        </w:tc>
        <w:tc>
          <w:tcPr>
            <w:tcW w:w="1095" w:type="dxa"/>
            <w:tcBorders>
              <w:top w:val="single" w:sz="12" w:space="0" w:color="auto"/>
            </w:tcBorders>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100</w:t>
            </w:r>
          </w:p>
        </w:tc>
        <w:tc>
          <w:tcPr>
            <w:tcW w:w="986" w:type="dxa"/>
            <w:tcBorders>
              <w:top w:val="single" w:sz="12" w:space="0" w:color="auto"/>
            </w:tcBorders>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108</w:t>
            </w:r>
          </w:p>
        </w:tc>
        <w:tc>
          <w:tcPr>
            <w:tcW w:w="1096" w:type="dxa"/>
            <w:tcBorders>
              <w:top w:val="single" w:sz="12" w:space="0" w:color="auto"/>
            </w:tcBorders>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116</w:t>
            </w:r>
          </w:p>
        </w:tc>
        <w:tc>
          <w:tcPr>
            <w:tcW w:w="986" w:type="dxa"/>
            <w:tcBorders>
              <w:top w:val="single" w:sz="12" w:space="0" w:color="auto"/>
            </w:tcBorders>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120</w:t>
            </w:r>
          </w:p>
        </w:tc>
        <w:tc>
          <w:tcPr>
            <w:tcW w:w="1056" w:type="dxa"/>
            <w:tcBorders>
              <w:top w:val="single" w:sz="12" w:space="0" w:color="auto"/>
            </w:tcBorders>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125</w:t>
            </w:r>
          </w:p>
        </w:tc>
      </w:tr>
      <w:tr w:rsidR="00E75971" w:rsidRPr="00E75971" w:rsidTr="00663E20">
        <w:trPr>
          <w:trHeight w:val="321"/>
          <w:jc w:val="center"/>
        </w:trPr>
        <w:tc>
          <w:tcPr>
            <w:tcW w:w="355" w:type="dxa"/>
            <w:vMerge/>
            <w:tcBorders>
              <w:top w:val="single" w:sz="12" w:space="0" w:color="auto"/>
              <w:left w:val="single" w:sz="12" w:space="0" w:color="auto"/>
              <w:bottom w:val="single" w:sz="12" w:space="0" w:color="auto"/>
              <w:right w:val="single" w:sz="12" w:space="0" w:color="auto"/>
            </w:tcBorders>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048" w:type="dxa"/>
            <w:vMerge/>
            <w:tcBorders>
              <w:left w:val="single" w:sz="12" w:space="0" w:color="auto"/>
              <w:right w:val="single" w:sz="12" w:space="0" w:color="auto"/>
            </w:tcBorders>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tcBorders>
              <w:top w:val="single" w:sz="12" w:space="0" w:color="auto"/>
              <w:left w:val="single" w:sz="12" w:space="0" w:color="auto"/>
              <w:bottom w:val="single" w:sz="12" w:space="0" w:color="auto"/>
              <w:right w:val="single" w:sz="12" w:space="0" w:color="auto"/>
            </w:tcBorders>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val="es-MX" w:eastAsia="es-MX"/>
              </w:rPr>
            </w:pPr>
          </w:p>
        </w:tc>
        <w:tc>
          <w:tcPr>
            <w:tcW w:w="2742" w:type="dxa"/>
            <w:vMerge/>
            <w:tcBorders>
              <w:top w:val="single" w:sz="12" w:space="0" w:color="auto"/>
              <w:left w:val="single" w:sz="12" w:space="0" w:color="auto"/>
              <w:bottom w:val="single" w:sz="12" w:space="0" w:color="auto"/>
            </w:tcBorders>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val="es-MX" w:eastAsia="es-MX"/>
              </w:rPr>
            </w:pPr>
          </w:p>
        </w:tc>
        <w:tc>
          <w:tcPr>
            <w:tcW w:w="1095" w:type="dxa"/>
            <w:tcBorders>
              <w:top w:val="single" w:sz="12" w:space="0" w:color="auto"/>
            </w:tcBorders>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92</w:t>
            </w:r>
          </w:p>
        </w:tc>
        <w:tc>
          <w:tcPr>
            <w:tcW w:w="986" w:type="dxa"/>
            <w:tcBorders>
              <w:top w:val="single" w:sz="12" w:space="0" w:color="auto"/>
            </w:tcBorders>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100</w:t>
            </w:r>
          </w:p>
        </w:tc>
        <w:tc>
          <w:tcPr>
            <w:tcW w:w="1096" w:type="dxa"/>
            <w:tcBorders>
              <w:top w:val="single" w:sz="12" w:space="0" w:color="auto"/>
            </w:tcBorders>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108</w:t>
            </w:r>
          </w:p>
        </w:tc>
        <w:tc>
          <w:tcPr>
            <w:tcW w:w="986" w:type="dxa"/>
            <w:tcBorders>
              <w:top w:val="single" w:sz="12" w:space="0" w:color="auto"/>
            </w:tcBorders>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116</w:t>
            </w:r>
          </w:p>
        </w:tc>
        <w:tc>
          <w:tcPr>
            <w:tcW w:w="1056" w:type="dxa"/>
            <w:tcBorders>
              <w:top w:val="single" w:sz="12" w:space="0" w:color="auto"/>
            </w:tcBorders>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120</w:t>
            </w:r>
          </w:p>
        </w:tc>
      </w:tr>
      <w:tr w:rsidR="00E75971" w:rsidRPr="00E75971" w:rsidTr="00663E20">
        <w:trPr>
          <w:trHeight w:val="321"/>
          <w:jc w:val="center"/>
        </w:trPr>
        <w:tc>
          <w:tcPr>
            <w:tcW w:w="355" w:type="dxa"/>
            <w:vMerge/>
            <w:tcBorders>
              <w:top w:val="single" w:sz="12" w:space="0" w:color="auto"/>
              <w:left w:val="single" w:sz="12" w:space="0" w:color="auto"/>
              <w:bottom w:val="single" w:sz="12" w:space="0" w:color="auto"/>
              <w:right w:val="single" w:sz="12" w:space="0" w:color="auto"/>
            </w:tcBorders>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048" w:type="dxa"/>
            <w:vMerge/>
            <w:tcBorders>
              <w:left w:val="single" w:sz="12" w:space="0" w:color="auto"/>
              <w:right w:val="single" w:sz="12" w:space="0" w:color="auto"/>
            </w:tcBorders>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tcBorders>
              <w:top w:val="single" w:sz="12" w:space="0" w:color="auto"/>
              <w:left w:val="single" w:sz="12" w:space="0" w:color="auto"/>
              <w:bottom w:val="single" w:sz="12" w:space="0" w:color="auto"/>
              <w:right w:val="single" w:sz="12" w:space="0" w:color="auto"/>
            </w:tcBorders>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val="es-MX" w:eastAsia="es-MX"/>
              </w:rPr>
            </w:pPr>
          </w:p>
        </w:tc>
        <w:tc>
          <w:tcPr>
            <w:tcW w:w="2742" w:type="dxa"/>
            <w:vMerge/>
            <w:tcBorders>
              <w:top w:val="single" w:sz="12" w:space="0" w:color="auto"/>
              <w:left w:val="single" w:sz="12" w:space="0" w:color="auto"/>
              <w:bottom w:val="single" w:sz="12" w:space="0" w:color="auto"/>
            </w:tcBorders>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val="es-MX" w:eastAsia="es-MX"/>
              </w:rPr>
            </w:pPr>
          </w:p>
        </w:tc>
        <w:tc>
          <w:tcPr>
            <w:tcW w:w="1095" w:type="dxa"/>
            <w:tcBorders>
              <w:top w:val="single" w:sz="12" w:space="0" w:color="auto"/>
            </w:tcBorders>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.09</w:t>
            </w:r>
          </w:p>
        </w:tc>
        <w:tc>
          <w:tcPr>
            <w:tcW w:w="986" w:type="dxa"/>
            <w:tcBorders>
              <w:top w:val="single" w:sz="12" w:space="0" w:color="auto"/>
            </w:tcBorders>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1.08</w:t>
            </w:r>
          </w:p>
        </w:tc>
        <w:tc>
          <w:tcPr>
            <w:tcW w:w="1096" w:type="dxa"/>
            <w:tcBorders>
              <w:top w:val="single" w:sz="12" w:space="0" w:color="auto"/>
            </w:tcBorders>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1.07</w:t>
            </w:r>
          </w:p>
        </w:tc>
        <w:tc>
          <w:tcPr>
            <w:tcW w:w="986" w:type="dxa"/>
            <w:tcBorders>
              <w:top w:val="single" w:sz="12" w:space="0" w:color="auto"/>
            </w:tcBorders>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1.03</w:t>
            </w:r>
          </w:p>
        </w:tc>
        <w:tc>
          <w:tcPr>
            <w:tcW w:w="1056" w:type="dxa"/>
            <w:tcBorders>
              <w:top w:val="single" w:sz="12" w:space="0" w:color="auto"/>
            </w:tcBorders>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1.04</w:t>
            </w:r>
          </w:p>
        </w:tc>
      </w:tr>
      <w:tr w:rsidR="00E75971" w:rsidRPr="00E75971" w:rsidTr="00663E20">
        <w:tblPrEx>
          <w:tblLook w:val="0000" w:firstRow="0" w:lastRow="0" w:firstColumn="0" w:lastColumn="0" w:noHBand="0" w:noVBand="0"/>
        </w:tblPrEx>
        <w:trPr>
          <w:trHeight w:val="321"/>
          <w:jc w:val="center"/>
        </w:trPr>
        <w:tc>
          <w:tcPr>
            <w:tcW w:w="355" w:type="dxa"/>
            <w:vMerge w:val="restart"/>
            <w:tcBorders>
              <w:top w:val="single" w:sz="12" w:space="0" w:color="auto"/>
            </w:tcBorders>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8</w:t>
            </w:r>
          </w:p>
        </w:tc>
        <w:tc>
          <w:tcPr>
            <w:tcW w:w="1048" w:type="dxa"/>
            <w:vMerge w:val="restart"/>
            <w:tcBorders>
              <w:top w:val="single" w:sz="12" w:space="0" w:color="auto"/>
            </w:tcBorders>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Difusión y Divulgación</w:t>
            </w:r>
          </w:p>
        </w:tc>
        <w:tc>
          <w:tcPr>
            <w:tcW w:w="1134" w:type="dxa"/>
            <w:vMerge w:val="restart"/>
            <w:tcBorders>
              <w:top w:val="single" w:sz="12" w:space="0" w:color="auto"/>
            </w:tcBorders>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r w:rsidRPr="00E75971">
              <w:rPr>
                <w:rFonts w:ascii="Arial Narrow" w:eastAsia="Times New Roman" w:hAnsi="Arial Narrow" w:cs="Arial"/>
                <w:bCs/>
                <w:noProof/>
                <w:color w:val="auto"/>
                <w:sz w:val="16"/>
                <w:szCs w:val="18"/>
                <w:lang w:eastAsia="es-ES"/>
              </w:rPr>
              <w:t>Actividades de Divulgación por Personal C y T</w:t>
            </w:r>
          </w:p>
        </w:tc>
        <w:tc>
          <w:tcPr>
            <w:tcW w:w="2742" w:type="dxa"/>
            <w:vMerge w:val="restart"/>
            <w:tcBorders>
              <w:top w:val="single" w:sz="12" w:space="0" w:color="auto"/>
            </w:tcBorders>
            <w:vAlign w:val="center"/>
          </w:tcPr>
          <w:p w:rsidR="00E75971" w:rsidRPr="00E75971" w:rsidRDefault="00E75971" w:rsidP="00E75971">
            <w:pPr>
              <w:spacing w:before="60" w:line="240" w:lineRule="auto"/>
              <w:jc w:val="center"/>
              <w:rPr>
                <w:rFonts w:ascii="Arial Narrow" w:eastAsia="Times New Roman" w:hAnsi="Arial Narrow" w:cs="Arial"/>
                <w:bCs/>
                <w:color w:val="auto"/>
                <w:sz w:val="16"/>
                <w:szCs w:val="18"/>
                <w:lang w:val="es-MX" w:eastAsia="es-ES"/>
              </w:rPr>
            </w:pPr>
          </w:p>
          <w:p w:rsidR="00E75971" w:rsidRPr="00E75971" w:rsidRDefault="00663E20" w:rsidP="00E75971">
            <w:pPr>
              <w:spacing w:before="60" w:line="240" w:lineRule="auto"/>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noProof/>
                <w:color w:val="auto"/>
                <w:sz w:val="16"/>
                <w:szCs w:val="18"/>
                <w:lang w:val="es-MX" w:eastAsia="es-MX"/>
              </w:rPr>
              <mc:AlternateContent>
                <mc:Choice Requires="wps">
                  <w:drawing>
                    <wp:anchor distT="0" distB="0" distL="114300" distR="114300" simplePos="0" relativeHeight="251695104" behindDoc="0" locked="0" layoutInCell="1" allowOverlap="1" wp14:anchorId="09371444" wp14:editId="21113CB6">
                      <wp:simplePos x="0" y="0"/>
                      <wp:positionH relativeFrom="column">
                        <wp:posOffset>15875</wp:posOffset>
                      </wp:positionH>
                      <wp:positionV relativeFrom="paragraph">
                        <wp:posOffset>224155</wp:posOffset>
                      </wp:positionV>
                      <wp:extent cx="1594485" cy="0"/>
                      <wp:effectExtent l="9525" t="10160" r="5715" b="8890"/>
                      <wp:wrapNone/>
                      <wp:docPr id="30"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163A1" id="Conector recto de flecha 30" o:spid="_x0000_s1026" type="#_x0000_t32" style="position:absolute;margin-left:1.25pt;margin-top:17.65pt;width:125.5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"/>
                  </w:pict>
                </mc:Fallback>
              </mc:AlternateContent>
            </w:r>
            <w:r w:rsidR="00E75971" w:rsidRPr="00E75971">
              <w:rPr>
                <w:rFonts w:ascii="Arial Narrow" w:eastAsia="Times New Roman" w:hAnsi="Arial Narrow" w:cs="Arial"/>
                <w:bCs/>
                <w:color w:val="auto"/>
                <w:sz w:val="16"/>
                <w:szCs w:val="18"/>
                <w:lang w:val="es-MX" w:eastAsia="es-ES"/>
              </w:rPr>
              <w:t>No. de actividades de divulgación dirigidas al público en general</w:t>
            </w:r>
          </w:p>
          <w:p w:rsidR="00E75971" w:rsidRPr="00E75971" w:rsidRDefault="00E75971" w:rsidP="00E75971">
            <w:pPr>
              <w:spacing w:before="60" w:line="240" w:lineRule="auto"/>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No. de Personal de Ciencia y Tecnología</w:t>
            </w:r>
          </w:p>
        </w:tc>
        <w:tc>
          <w:tcPr>
            <w:tcW w:w="1095"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150</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162</w:t>
            </w:r>
          </w:p>
        </w:tc>
        <w:tc>
          <w:tcPr>
            <w:tcW w:w="109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174</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180</w:t>
            </w:r>
          </w:p>
        </w:tc>
        <w:tc>
          <w:tcPr>
            <w:tcW w:w="105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185</w:t>
            </w:r>
          </w:p>
        </w:tc>
      </w:tr>
      <w:tr w:rsidR="00E75971" w:rsidRPr="00E75971" w:rsidTr="00663E20">
        <w:tblPrEx>
          <w:tblLook w:val="0000" w:firstRow="0" w:lastRow="0" w:firstColumn="0" w:lastColumn="0" w:noHBand="0" w:noVBand="0"/>
        </w:tblPrEx>
        <w:trPr>
          <w:trHeight w:val="321"/>
          <w:jc w:val="center"/>
        </w:trPr>
        <w:tc>
          <w:tcPr>
            <w:tcW w:w="355"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048"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p>
        </w:tc>
        <w:tc>
          <w:tcPr>
            <w:tcW w:w="2742" w:type="dxa"/>
            <w:vMerge/>
          </w:tcPr>
          <w:p w:rsidR="00E75971" w:rsidRPr="00E75971" w:rsidRDefault="00E75971" w:rsidP="00E75971">
            <w:pPr>
              <w:spacing w:before="60" w:line="240" w:lineRule="auto"/>
              <w:jc w:val="center"/>
              <w:rPr>
                <w:rFonts w:ascii="Arial Narrow" w:eastAsia="Times New Roman" w:hAnsi="Arial Narrow" w:cs="Arial"/>
                <w:bCs/>
                <w:color w:val="auto"/>
                <w:sz w:val="16"/>
                <w:szCs w:val="18"/>
                <w:lang w:val="es-MX" w:eastAsia="es-ES"/>
              </w:rPr>
            </w:pPr>
          </w:p>
        </w:tc>
        <w:tc>
          <w:tcPr>
            <w:tcW w:w="1095"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50</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54</w:t>
            </w:r>
          </w:p>
        </w:tc>
        <w:tc>
          <w:tcPr>
            <w:tcW w:w="109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58</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60</w:t>
            </w:r>
          </w:p>
        </w:tc>
        <w:tc>
          <w:tcPr>
            <w:tcW w:w="105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60</w:t>
            </w:r>
          </w:p>
        </w:tc>
      </w:tr>
      <w:tr w:rsidR="00E75971" w:rsidRPr="00E75971" w:rsidTr="00663E20">
        <w:tblPrEx>
          <w:tblLook w:val="0000" w:firstRow="0" w:lastRow="0" w:firstColumn="0" w:lastColumn="0" w:noHBand="0" w:noVBand="0"/>
        </w:tblPrEx>
        <w:trPr>
          <w:trHeight w:val="321"/>
          <w:jc w:val="center"/>
        </w:trPr>
        <w:tc>
          <w:tcPr>
            <w:tcW w:w="355"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048"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p>
        </w:tc>
        <w:tc>
          <w:tcPr>
            <w:tcW w:w="2742" w:type="dxa"/>
            <w:vMerge/>
          </w:tcPr>
          <w:p w:rsidR="00E75971" w:rsidRPr="00E75971" w:rsidRDefault="00E75971" w:rsidP="00E75971">
            <w:pPr>
              <w:spacing w:before="60" w:line="240" w:lineRule="auto"/>
              <w:jc w:val="center"/>
              <w:rPr>
                <w:rFonts w:ascii="Arial Narrow" w:eastAsia="Times New Roman" w:hAnsi="Arial Narrow" w:cs="Arial"/>
                <w:bCs/>
                <w:color w:val="auto"/>
                <w:sz w:val="16"/>
                <w:szCs w:val="18"/>
                <w:lang w:val="es-MX" w:eastAsia="es-ES"/>
              </w:rPr>
            </w:pPr>
          </w:p>
        </w:tc>
        <w:tc>
          <w:tcPr>
            <w:tcW w:w="1095"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3</w:t>
            </w:r>
          </w:p>
        </w:tc>
        <w:tc>
          <w:tcPr>
            <w:tcW w:w="98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3</w:t>
            </w:r>
          </w:p>
        </w:tc>
        <w:tc>
          <w:tcPr>
            <w:tcW w:w="109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3</w:t>
            </w:r>
          </w:p>
        </w:tc>
        <w:tc>
          <w:tcPr>
            <w:tcW w:w="98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3</w:t>
            </w:r>
          </w:p>
        </w:tc>
        <w:tc>
          <w:tcPr>
            <w:tcW w:w="105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3.08</w:t>
            </w:r>
          </w:p>
        </w:tc>
      </w:tr>
      <w:tr w:rsidR="00E75971" w:rsidRPr="00E75971" w:rsidTr="00663E20">
        <w:tblPrEx>
          <w:tblLook w:val="0000" w:firstRow="0" w:lastRow="0" w:firstColumn="0" w:lastColumn="0" w:noHBand="0" w:noVBand="0"/>
        </w:tblPrEx>
        <w:trPr>
          <w:trHeight w:val="321"/>
          <w:jc w:val="center"/>
        </w:trPr>
        <w:tc>
          <w:tcPr>
            <w:tcW w:w="355" w:type="dxa"/>
            <w:vMerge w:val="restart"/>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9</w:t>
            </w:r>
          </w:p>
        </w:tc>
        <w:tc>
          <w:tcPr>
            <w:tcW w:w="1048" w:type="dxa"/>
            <w:vMerge w:val="restart"/>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Gestión Presupuestal</w:t>
            </w:r>
          </w:p>
        </w:tc>
        <w:tc>
          <w:tcPr>
            <w:tcW w:w="1134" w:type="dxa"/>
            <w:vMerge w:val="restart"/>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r w:rsidRPr="00E75971">
              <w:rPr>
                <w:rFonts w:ascii="Arial Narrow" w:eastAsia="Times New Roman" w:hAnsi="Arial Narrow" w:cs="Arial"/>
                <w:bCs/>
                <w:noProof/>
                <w:color w:val="auto"/>
                <w:sz w:val="16"/>
                <w:szCs w:val="18"/>
                <w:lang w:eastAsia="es-ES"/>
              </w:rPr>
              <w:t>Indice de Sostenibiidad Económica</w:t>
            </w:r>
          </w:p>
        </w:tc>
        <w:tc>
          <w:tcPr>
            <w:tcW w:w="2742" w:type="dxa"/>
            <w:vMerge w:val="restart"/>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p>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r w:rsidRPr="00E75971">
              <w:rPr>
                <w:rFonts w:ascii="Arial Narrow" w:eastAsia="Times New Roman" w:hAnsi="Arial Narrow" w:cs="Arial"/>
                <w:bCs/>
                <w:noProof/>
                <w:color w:val="auto"/>
                <w:sz w:val="16"/>
                <w:szCs w:val="18"/>
                <w:lang w:val="es-MX" w:eastAsia="es-MX"/>
              </w:rPr>
              <mc:AlternateContent>
                <mc:Choice Requires="wps">
                  <w:drawing>
                    <wp:anchor distT="0" distB="0" distL="114300" distR="114300" simplePos="0" relativeHeight="251674624" behindDoc="0" locked="0" layoutInCell="1" allowOverlap="1">
                      <wp:simplePos x="0" y="0"/>
                      <wp:positionH relativeFrom="column">
                        <wp:posOffset>11430</wp:posOffset>
                      </wp:positionH>
                      <wp:positionV relativeFrom="paragraph">
                        <wp:posOffset>123190</wp:posOffset>
                      </wp:positionV>
                      <wp:extent cx="1594485" cy="0"/>
                      <wp:effectExtent l="9525" t="10160" r="5715" b="889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E1B1F" id="Conector recto de flecha 6" o:spid="_x0000_s1026" type="#_x0000_t32" style="position:absolute;margin-left:.9pt;margin-top:9.7pt;width:125.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"/>
                  </w:pict>
                </mc:Fallback>
              </mc:AlternateContent>
            </w:r>
            <w:r w:rsidRPr="00E75971">
              <w:rPr>
                <w:rFonts w:ascii="Arial Narrow" w:eastAsia="Times New Roman" w:hAnsi="Arial Narrow" w:cs="Arial"/>
                <w:bCs/>
                <w:noProof/>
                <w:color w:val="auto"/>
                <w:sz w:val="16"/>
                <w:szCs w:val="18"/>
                <w:lang w:eastAsia="es-ES"/>
              </w:rPr>
              <w:t>Monto de Ingresos Propios</w:t>
            </w:r>
          </w:p>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r w:rsidRPr="00E75971">
              <w:rPr>
                <w:rFonts w:ascii="Arial Narrow" w:eastAsia="Times New Roman" w:hAnsi="Arial Narrow" w:cs="Arial"/>
                <w:bCs/>
                <w:noProof/>
                <w:color w:val="auto"/>
                <w:sz w:val="16"/>
                <w:szCs w:val="18"/>
                <w:lang w:eastAsia="es-ES"/>
              </w:rPr>
              <w:t>Monto de Presupuesto Total del Centro</w:t>
            </w:r>
          </w:p>
        </w:tc>
        <w:tc>
          <w:tcPr>
            <w:tcW w:w="1095"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4,000</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4,000</w:t>
            </w:r>
          </w:p>
        </w:tc>
        <w:tc>
          <w:tcPr>
            <w:tcW w:w="109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4,000</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4,000</w:t>
            </w:r>
          </w:p>
        </w:tc>
        <w:tc>
          <w:tcPr>
            <w:tcW w:w="105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6,000</w:t>
            </w:r>
          </w:p>
        </w:tc>
      </w:tr>
      <w:tr w:rsidR="00E75971" w:rsidRPr="00E75971" w:rsidTr="00663E20">
        <w:tblPrEx>
          <w:tblLook w:val="0000" w:firstRow="0" w:lastRow="0" w:firstColumn="0" w:lastColumn="0" w:noHBand="0" w:noVBand="0"/>
        </w:tblPrEx>
        <w:trPr>
          <w:trHeight w:val="321"/>
          <w:jc w:val="center"/>
        </w:trPr>
        <w:tc>
          <w:tcPr>
            <w:tcW w:w="355"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048"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p>
        </w:tc>
        <w:tc>
          <w:tcPr>
            <w:tcW w:w="2742" w:type="dxa"/>
            <w:vMerge/>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p>
        </w:tc>
        <w:tc>
          <w:tcPr>
            <w:tcW w:w="1095"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126,506</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139,698</w:t>
            </w:r>
          </w:p>
        </w:tc>
        <w:tc>
          <w:tcPr>
            <w:tcW w:w="109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154,783</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167,444</w:t>
            </w:r>
          </w:p>
        </w:tc>
        <w:tc>
          <w:tcPr>
            <w:tcW w:w="105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178,731</w:t>
            </w:r>
          </w:p>
        </w:tc>
      </w:tr>
      <w:tr w:rsidR="00E75971" w:rsidRPr="00E75971" w:rsidTr="00663E20">
        <w:tblPrEx>
          <w:tblLook w:val="0000" w:firstRow="0" w:lastRow="0" w:firstColumn="0" w:lastColumn="0" w:noHBand="0" w:noVBand="0"/>
        </w:tblPrEx>
        <w:trPr>
          <w:trHeight w:val="321"/>
          <w:jc w:val="center"/>
        </w:trPr>
        <w:tc>
          <w:tcPr>
            <w:tcW w:w="355"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048"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p>
        </w:tc>
        <w:tc>
          <w:tcPr>
            <w:tcW w:w="2742" w:type="dxa"/>
            <w:vMerge/>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p>
        </w:tc>
        <w:tc>
          <w:tcPr>
            <w:tcW w:w="1095"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0.03</w:t>
            </w:r>
          </w:p>
        </w:tc>
        <w:tc>
          <w:tcPr>
            <w:tcW w:w="98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0.02</w:t>
            </w:r>
          </w:p>
        </w:tc>
        <w:tc>
          <w:tcPr>
            <w:tcW w:w="109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0.02</w:t>
            </w:r>
          </w:p>
        </w:tc>
        <w:tc>
          <w:tcPr>
            <w:tcW w:w="98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0.02</w:t>
            </w:r>
          </w:p>
        </w:tc>
        <w:tc>
          <w:tcPr>
            <w:tcW w:w="105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0.03</w:t>
            </w:r>
          </w:p>
        </w:tc>
      </w:tr>
      <w:tr w:rsidR="00E75971" w:rsidRPr="00E75971" w:rsidTr="00663E20">
        <w:tblPrEx>
          <w:tblLook w:val="0000" w:firstRow="0" w:lastRow="0" w:firstColumn="0" w:lastColumn="0" w:noHBand="0" w:noVBand="0"/>
        </w:tblPrEx>
        <w:trPr>
          <w:trHeight w:val="321"/>
          <w:jc w:val="center"/>
        </w:trPr>
        <w:tc>
          <w:tcPr>
            <w:tcW w:w="355" w:type="dxa"/>
            <w:vMerge w:val="restart"/>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10</w:t>
            </w:r>
          </w:p>
        </w:tc>
        <w:tc>
          <w:tcPr>
            <w:tcW w:w="1048"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val="restart"/>
            <w:vAlign w:val="center"/>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val="es-MX" w:eastAsia="es-MX"/>
              </w:rPr>
            </w:pPr>
            <w:r w:rsidRPr="00E75971">
              <w:rPr>
                <w:rFonts w:ascii="Arial Narrow" w:eastAsia="Times New Roman" w:hAnsi="Arial Narrow" w:cs="Arial"/>
                <w:bCs/>
                <w:noProof/>
                <w:color w:val="auto"/>
                <w:sz w:val="16"/>
                <w:szCs w:val="18"/>
                <w:lang w:val="es-MX" w:eastAsia="es-MX"/>
              </w:rPr>
              <w:t>Índice de Sostenibilidad Económica para la Investigación</w:t>
            </w:r>
          </w:p>
        </w:tc>
        <w:tc>
          <w:tcPr>
            <w:tcW w:w="2742" w:type="dxa"/>
            <w:vMerge w:val="restart"/>
          </w:tcPr>
          <w:p w:rsidR="00E75971" w:rsidRPr="00E75971" w:rsidRDefault="00E75971" w:rsidP="00E75971">
            <w:pPr>
              <w:spacing w:after="0" w:line="240" w:lineRule="auto"/>
              <w:jc w:val="center"/>
              <w:rPr>
                <w:rFonts w:ascii="Arial Narrow" w:eastAsia="Times New Roman" w:hAnsi="Arial Narrow" w:cs="Arial"/>
                <w:bCs/>
                <w:noProof/>
                <w:color w:val="auto"/>
                <w:sz w:val="16"/>
                <w:szCs w:val="18"/>
                <w:lang w:eastAsia="es-ES"/>
              </w:rPr>
            </w:pPr>
          </w:p>
          <w:p w:rsidR="00E75971" w:rsidRPr="00E75971" w:rsidRDefault="00663E20" w:rsidP="00E75971">
            <w:pPr>
              <w:spacing w:before="60" w:line="240" w:lineRule="auto"/>
              <w:jc w:val="center"/>
              <w:rPr>
                <w:rFonts w:ascii="Arial Narrow" w:eastAsia="Times New Roman" w:hAnsi="Arial Narrow" w:cs="Arial"/>
                <w:bCs/>
                <w:noProof/>
                <w:color w:val="auto"/>
                <w:sz w:val="16"/>
                <w:szCs w:val="18"/>
                <w:lang w:eastAsia="es-ES"/>
              </w:rPr>
            </w:pPr>
            <w:r w:rsidRPr="00E75971">
              <w:rPr>
                <w:rFonts w:ascii="Arial Narrow" w:eastAsia="Times New Roman" w:hAnsi="Arial Narrow" w:cs="Arial"/>
                <w:bCs/>
                <w:noProof/>
                <w:color w:val="auto"/>
                <w:sz w:val="16"/>
                <w:szCs w:val="18"/>
                <w:lang w:val="es-MX" w:eastAsia="es-MX"/>
              </w:rPr>
              <mc:AlternateContent>
                <mc:Choice Requires="wps">
                  <w:drawing>
                    <wp:anchor distT="0" distB="0" distL="114300" distR="114300" simplePos="0" relativeHeight="251693056" behindDoc="0" locked="0" layoutInCell="1" allowOverlap="1" wp14:anchorId="09371444" wp14:editId="21113CB6">
                      <wp:simplePos x="0" y="0"/>
                      <wp:positionH relativeFrom="column">
                        <wp:posOffset>15902</wp:posOffset>
                      </wp:positionH>
                      <wp:positionV relativeFrom="paragraph">
                        <wp:posOffset>393258</wp:posOffset>
                      </wp:positionV>
                      <wp:extent cx="1594485" cy="0"/>
                      <wp:effectExtent l="9525" t="10160" r="5715" b="8890"/>
                      <wp:wrapNone/>
                      <wp:docPr id="29" name="Conector recto de flech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E187B" id="Conector recto de flecha 29" o:spid="_x0000_s1026" type="#_x0000_t32" style="position:absolute;margin-left:1.25pt;margin-top:30.95pt;width:125.5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"/>
                  </w:pict>
                </mc:Fallback>
              </mc:AlternateContent>
            </w:r>
            <w:r w:rsidR="00E75971" w:rsidRPr="00E75971">
              <w:rPr>
                <w:rFonts w:ascii="Arial Narrow" w:eastAsia="Times New Roman" w:hAnsi="Arial Narrow" w:cs="Arial"/>
                <w:bCs/>
                <w:noProof/>
                <w:color w:val="auto"/>
                <w:sz w:val="16"/>
                <w:szCs w:val="18"/>
                <w:lang w:eastAsia="es-ES"/>
              </w:rPr>
              <w:t>Monto total obtenido por proyectos de investigación financiados con recursos externos</w:t>
            </w:r>
          </w:p>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eastAsia="es-ES"/>
              </w:rPr>
            </w:pPr>
            <w:r w:rsidRPr="00E75971">
              <w:rPr>
                <w:rFonts w:ascii="Arial Narrow" w:eastAsia="Times New Roman" w:hAnsi="Arial Narrow" w:cs="Arial"/>
                <w:bCs/>
                <w:noProof/>
                <w:color w:val="auto"/>
                <w:sz w:val="16"/>
                <w:szCs w:val="18"/>
                <w:lang w:eastAsia="es-ES"/>
              </w:rPr>
              <w:t>Monto total de recursos fiscales destinados a la investigación</w:t>
            </w:r>
          </w:p>
        </w:tc>
        <w:tc>
          <w:tcPr>
            <w:tcW w:w="1095"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6,000</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7,000</w:t>
            </w:r>
          </w:p>
        </w:tc>
        <w:tc>
          <w:tcPr>
            <w:tcW w:w="109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7,700</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8,300</w:t>
            </w:r>
          </w:p>
        </w:tc>
        <w:tc>
          <w:tcPr>
            <w:tcW w:w="105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8,900</w:t>
            </w:r>
          </w:p>
        </w:tc>
      </w:tr>
      <w:tr w:rsidR="00E75971" w:rsidRPr="00E75971" w:rsidTr="00663E20">
        <w:tblPrEx>
          <w:tblLook w:val="0000" w:firstRow="0" w:lastRow="0" w:firstColumn="0" w:lastColumn="0" w:noHBand="0" w:noVBand="0"/>
        </w:tblPrEx>
        <w:trPr>
          <w:trHeight w:val="321"/>
          <w:jc w:val="center"/>
        </w:trPr>
        <w:tc>
          <w:tcPr>
            <w:tcW w:w="355" w:type="dxa"/>
            <w:vMerge/>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048"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val="es-MX" w:eastAsia="es-MX"/>
              </w:rPr>
            </w:pPr>
          </w:p>
        </w:tc>
        <w:tc>
          <w:tcPr>
            <w:tcW w:w="2742" w:type="dxa"/>
            <w:vMerge/>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val="es-MX" w:eastAsia="es-MX"/>
              </w:rPr>
            </w:pPr>
          </w:p>
        </w:tc>
        <w:tc>
          <w:tcPr>
            <w:tcW w:w="1095"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122,498</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135,604</w:t>
            </w:r>
          </w:p>
        </w:tc>
        <w:tc>
          <w:tcPr>
            <w:tcW w:w="109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150,600</w:t>
            </w:r>
          </w:p>
        </w:tc>
        <w:tc>
          <w:tcPr>
            <w:tcW w:w="98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163,170</w:t>
            </w:r>
          </w:p>
        </w:tc>
        <w:tc>
          <w:tcPr>
            <w:tcW w:w="1056" w:type="dxa"/>
            <w:vAlign w:val="center"/>
          </w:tcPr>
          <w:p w:rsidR="00E75971" w:rsidRPr="00E75971" w:rsidRDefault="00E75971" w:rsidP="00E75971">
            <w:pPr>
              <w:spacing w:after="0" w:line="240" w:lineRule="auto"/>
              <w:ind w:right="-1"/>
              <w:jc w:val="center"/>
              <w:rPr>
                <w:rFonts w:ascii="Arial Narrow" w:eastAsia="Times New Roman" w:hAnsi="Arial Narrow" w:cs="Arial"/>
                <w:bCs/>
                <w:color w:val="auto"/>
                <w:sz w:val="16"/>
                <w:szCs w:val="18"/>
                <w:lang w:val="es-MX" w:eastAsia="es-ES"/>
              </w:rPr>
            </w:pPr>
            <w:r w:rsidRPr="00E75971">
              <w:rPr>
                <w:rFonts w:ascii="Arial Narrow" w:eastAsia="Times New Roman" w:hAnsi="Arial Narrow" w:cs="Arial"/>
                <w:bCs/>
                <w:color w:val="auto"/>
                <w:sz w:val="16"/>
                <w:szCs w:val="18"/>
                <w:lang w:val="es-MX" w:eastAsia="es-ES"/>
              </w:rPr>
              <w:t>172,377</w:t>
            </w:r>
          </w:p>
        </w:tc>
      </w:tr>
      <w:tr w:rsidR="00E75971" w:rsidRPr="00E75971" w:rsidTr="00663E20">
        <w:tblPrEx>
          <w:tblLook w:val="0000" w:firstRow="0" w:lastRow="0" w:firstColumn="0" w:lastColumn="0" w:noHBand="0" w:noVBand="0"/>
        </w:tblPrEx>
        <w:trPr>
          <w:trHeight w:val="321"/>
          <w:jc w:val="center"/>
        </w:trPr>
        <w:tc>
          <w:tcPr>
            <w:tcW w:w="355" w:type="dxa"/>
            <w:vMerge/>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048" w:type="dxa"/>
            <w:vMerge/>
            <w:vAlign w:val="center"/>
          </w:tcPr>
          <w:p w:rsidR="00E75971" w:rsidRPr="00E75971" w:rsidRDefault="00E75971" w:rsidP="00E75971">
            <w:pPr>
              <w:spacing w:after="0" w:line="240" w:lineRule="auto"/>
              <w:jc w:val="center"/>
              <w:rPr>
                <w:rFonts w:ascii="Arial Narrow" w:eastAsia="Times New Roman" w:hAnsi="Arial Narrow" w:cs="Arial"/>
                <w:bCs/>
                <w:color w:val="auto"/>
                <w:sz w:val="16"/>
                <w:szCs w:val="18"/>
                <w:lang w:val="es-MX" w:eastAsia="es-ES"/>
              </w:rPr>
            </w:pPr>
          </w:p>
        </w:tc>
        <w:tc>
          <w:tcPr>
            <w:tcW w:w="1134" w:type="dxa"/>
            <w:vMerge/>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val="es-MX" w:eastAsia="es-MX"/>
              </w:rPr>
            </w:pPr>
          </w:p>
        </w:tc>
        <w:tc>
          <w:tcPr>
            <w:tcW w:w="2742" w:type="dxa"/>
            <w:vMerge/>
          </w:tcPr>
          <w:p w:rsidR="00E75971" w:rsidRPr="00E75971" w:rsidRDefault="00E75971" w:rsidP="00E75971">
            <w:pPr>
              <w:spacing w:before="60" w:line="240" w:lineRule="auto"/>
              <w:jc w:val="center"/>
              <w:rPr>
                <w:rFonts w:ascii="Arial Narrow" w:eastAsia="Times New Roman" w:hAnsi="Arial Narrow" w:cs="Arial"/>
                <w:bCs/>
                <w:noProof/>
                <w:color w:val="auto"/>
                <w:sz w:val="16"/>
                <w:szCs w:val="18"/>
                <w:lang w:val="es-MX" w:eastAsia="es-MX"/>
              </w:rPr>
            </w:pPr>
          </w:p>
        </w:tc>
        <w:tc>
          <w:tcPr>
            <w:tcW w:w="1095"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0.04</w:t>
            </w:r>
          </w:p>
        </w:tc>
        <w:tc>
          <w:tcPr>
            <w:tcW w:w="98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0.05</w:t>
            </w:r>
          </w:p>
        </w:tc>
        <w:tc>
          <w:tcPr>
            <w:tcW w:w="109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0.05</w:t>
            </w:r>
          </w:p>
        </w:tc>
        <w:tc>
          <w:tcPr>
            <w:tcW w:w="98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0.05</w:t>
            </w:r>
          </w:p>
        </w:tc>
        <w:tc>
          <w:tcPr>
            <w:tcW w:w="1056" w:type="dxa"/>
            <w:shd w:val="clear" w:color="auto" w:fill="D9D9D9"/>
            <w:vAlign w:val="center"/>
          </w:tcPr>
          <w:p w:rsidR="00E75971" w:rsidRPr="00E75971" w:rsidRDefault="00E75971" w:rsidP="00E75971">
            <w:pPr>
              <w:spacing w:after="0" w:line="240" w:lineRule="auto"/>
              <w:ind w:right="-1"/>
              <w:jc w:val="center"/>
              <w:rPr>
                <w:rFonts w:ascii="Arial Narrow" w:eastAsia="Times New Roman" w:hAnsi="Arial Narrow" w:cs="Arial"/>
                <w:b/>
                <w:bCs/>
                <w:color w:val="auto"/>
                <w:sz w:val="16"/>
                <w:szCs w:val="18"/>
                <w:lang w:val="es-MX" w:eastAsia="es-ES"/>
              </w:rPr>
            </w:pPr>
            <w:r w:rsidRPr="00E75971">
              <w:rPr>
                <w:rFonts w:ascii="Arial Narrow" w:eastAsia="Times New Roman" w:hAnsi="Arial Narrow" w:cs="Arial"/>
                <w:b/>
                <w:bCs/>
                <w:color w:val="auto"/>
                <w:sz w:val="16"/>
                <w:szCs w:val="18"/>
                <w:lang w:val="es-MX" w:eastAsia="es-ES"/>
              </w:rPr>
              <w:t>0.05</w:t>
            </w:r>
          </w:p>
        </w:tc>
      </w:tr>
    </w:tbl>
    <w:p w:rsidR="00FC359F" w:rsidRDefault="00FC359F" w:rsidP="004670DD">
      <w:pPr>
        <w:pStyle w:val="Sinespaciado"/>
      </w:pPr>
    </w:p>
    <w:sectPr w:rsidR="00FC359F" w:rsidSect="00216F23">
      <w:headerReference w:type="default" r:id="rId14"/>
      <w:footerReference w:type="default" r:id="rId15"/>
      <w:headerReference w:type="first" r:id="rId16"/>
      <w:pgSz w:w="11906" w:h="16838" w:code="9"/>
      <w:pgMar w:top="1985" w:right="1418" w:bottom="1134" w:left="1701" w:header="794"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9C2" w:rsidRDefault="004869C2" w:rsidP="008B2920">
      <w:pPr>
        <w:spacing w:after="0" w:line="240" w:lineRule="auto"/>
      </w:pPr>
      <w:r>
        <w:separator/>
      </w:r>
    </w:p>
  </w:endnote>
  <w:endnote w:type="continuationSeparator" w:id="0">
    <w:p w:rsidR="004869C2" w:rsidRDefault="004869C2"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230077"/>
      <w:docPartObj>
        <w:docPartGallery w:val="Page Numbers (Bottom of Page)"/>
        <w:docPartUnique/>
      </w:docPartObj>
    </w:sdtPr>
    <w:sdtEndPr>
      <w:rPr>
        <w:noProof/>
      </w:rPr>
    </w:sdtEndPr>
    <w:sdtContent>
      <w:p w:rsidR="00E75971" w:rsidRDefault="00E75971" w:rsidP="00853CE2">
        <w:pPr>
          <w:pStyle w:val="Piedepgina"/>
          <w:rPr>
            <w:noProof/>
          </w:rPr>
        </w:pPr>
      </w:p>
      <w:tbl>
        <w:tblPr>
          <w:tblStyle w:val="Sombreadomedio1-nfasis2"/>
          <w:tblW w:w="9973" w:type="dxa"/>
          <w:jc w:val="center"/>
          <w:tblBorders>
            <w:top w:val="none" w:sz="0" w:space="0" w:color="auto"/>
            <w:left w:val="none" w:sz="0" w:space="0" w:color="auto"/>
            <w:bottom w:val="none" w:sz="0" w:space="0" w:color="auto"/>
            <w:right w:val="none" w:sz="0" w:space="0" w:color="auto"/>
            <w:insideH w:val="none" w:sz="0" w:space="0" w:color="auto"/>
          </w:tblBorders>
          <w:shd w:val="clear" w:color="auto" w:fill="548AB7" w:themeFill="accent1" w:themeFillShade="BF"/>
          <w:tblLook w:val="01E0" w:firstRow="1" w:lastRow="1" w:firstColumn="1" w:lastColumn="1" w:noHBand="0" w:noVBand="0"/>
        </w:tblPr>
        <w:tblGrid>
          <w:gridCol w:w="3324"/>
          <w:gridCol w:w="3324"/>
          <w:gridCol w:w="3325"/>
        </w:tblGrid>
        <w:tr w:rsidR="00E75971" w:rsidRPr="00EA3A17" w:rsidTr="00E75971">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324" w:type="dxa"/>
              <w:tcBorders>
                <w:top w:val="single" w:sz="12" w:space="0" w:color="94B6D2" w:themeColor="accent1"/>
                <w:left w:val="single" w:sz="12" w:space="0" w:color="94B6D2" w:themeColor="accent1"/>
                <w:bottom w:val="single" w:sz="12" w:space="0" w:color="94B6D2" w:themeColor="accent1"/>
              </w:tcBorders>
              <w:shd w:val="clear" w:color="auto" w:fill="548AB7" w:themeFill="accent1" w:themeFillShade="BF"/>
            </w:tcPr>
            <w:p w:rsidR="00E75971" w:rsidRPr="00EA3A17" w:rsidRDefault="00E75971" w:rsidP="00A90477">
              <w:pPr>
                <w:pStyle w:val="Piedepgina"/>
                <w:ind w:left="720"/>
                <w:rPr>
                  <w:rFonts w:ascii="Arial" w:hAnsi="Arial" w:cs="Arial"/>
                  <w:i/>
                  <w:sz w:val="18"/>
                  <w:szCs w:val="18"/>
                  <w:lang w:val="es-ES"/>
                </w:rPr>
              </w:pPr>
              <w:r w:rsidRPr="00EA3A17">
                <w:rPr>
                  <w:rFonts w:ascii="Arial" w:hAnsi="Arial" w:cs="Arial"/>
                  <w:i/>
                  <w:sz w:val="18"/>
                  <w:szCs w:val="18"/>
                  <w:lang w:val="es-ES"/>
                </w:rPr>
                <w:t>CDO/II/1</w:t>
              </w:r>
              <w:r>
                <w:rPr>
                  <w:rFonts w:ascii="Arial" w:hAnsi="Arial" w:cs="Arial"/>
                  <w:i/>
                  <w:sz w:val="18"/>
                  <w:szCs w:val="18"/>
                  <w:lang w:val="es-ES"/>
                </w:rPr>
                <w:t>7</w:t>
              </w:r>
            </w:p>
          </w:tc>
          <w:tc>
            <w:tcPr>
              <w:cnfStyle w:val="000010000000" w:firstRow="0" w:lastRow="0" w:firstColumn="0" w:lastColumn="0" w:oddVBand="1" w:evenVBand="0" w:oddHBand="0" w:evenHBand="0" w:firstRowFirstColumn="0" w:firstRowLastColumn="0" w:lastRowFirstColumn="0" w:lastRowLastColumn="0"/>
              <w:tcW w:w="3324" w:type="dxa"/>
              <w:tcBorders>
                <w:top w:val="single" w:sz="12" w:space="0" w:color="94B6D2" w:themeColor="accent1"/>
                <w:bottom w:val="single" w:sz="12" w:space="0" w:color="94B6D2" w:themeColor="accent1"/>
              </w:tcBorders>
              <w:shd w:val="clear" w:color="auto" w:fill="548AB7" w:themeFill="accent1" w:themeFillShade="BF"/>
            </w:tcPr>
            <w:p w:rsidR="00E75971" w:rsidRPr="00EA3A17" w:rsidRDefault="00E75971" w:rsidP="00A458EE">
              <w:pPr>
                <w:pStyle w:val="Piedepgina"/>
                <w:jc w:val="center"/>
                <w:rPr>
                  <w:rFonts w:ascii="Arial" w:hAnsi="Arial" w:cs="Arial"/>
                  <w:i/>
                  <w:sz w:val="18"/>
                  <w:szCs w:val="18"/>
                  <w:lang w:val="es-ES"/>
                </w:rPr>
              </w:pPr>
              <w:r>
                <w:rPr>
                  <w:rFonts w:ascii="Arial" w:hAnsi="Arial" w:cs="Arial"/>
                  <w:i/>
                  <w:sz w:val="18"/>
                  <w:szCs w:val="18"/>
                  <w:lang w:val="es-ES"/>
                </w:rPr>
                <w:t>9.1</w:t>
              </w:r>
              <w:r w:rsidRPr="00EA3A17">
                <w:rPr>
                  <w:rFonts w:ascii="Arial" w:hAnsi="Arial" w:cs="Arial"/>
                  <w:i/>
                  <w:sz w:val="18"/>
                  <w:szCs w:val="18"/>
                  <w:lang w:val="es-ES"/>
                </w:rPr>
                <w:t xml:space="preserve"> </w:t>
              </w:r>
              <w:r>
                <w:rPr>
                  <w:rFonts w:ascii="Arial" w:hAnsi="Arial" w:cs="Arial"/>
                  <w:i/>
                  <w:sz w:val="18"/>
                  <w:szCs w:val="18"/>
                  <w:lang w:val="es-ES"/>
                </w:rPr>
                <w:t>Diagnóstico</w:t>
              </w:r>
            </w:p>
          </w:tc>
          <w:tc>
            <w:tcPr>
              <w:cnfStyle w:val="000100000000" w:firstRow="0" w:lastRow="0" w:firstColumn="0" w:lastColumn="1" w:oddVBand="0" w:evenVBand="0" w:oddHBand="0" w:evenHBand="0" w:firstRowFirstColumn="0" w:firstRowLastColumn="0" w:lastRowFirstColumn="0" w:lastRowLastColumn="0"/>
              <w:tcW w:w="3325" w:type="dxa"/>
              <w:tcBorders>
                <w:top w:val="single" w:sz="12" w:space="0" w:color="94B6D2" w:themeColor="accent1"/>
                <w:bottom w:val="single" w:sz="12" w:space="0" w:color="94B6D2" w:themeColor="accent1"/>
                <w:right w:val="single" w:sz="12" w:space="0" w:color="94B6D2" w:themeColor="accent1"/>
              </w:tcBorders>
              <w:shd w:val="clear" w:color="auto" w:fill="548AB7" w:themeFill="accent1" w:themeFillShade="BF"/>
            </w:tcPr>
            <w:p w:rsidR="00E75971" w:rsidRPr="00EA3A17" w:rsidRDefault="00E75971" w:rsidP="00A90477">
              <w:pPr>
                <w:pStyle w:val="Piedepgina"/>
                <w:ind w:left="708"/>
                <w:jc w:val="right"/>
                <w:rPr>
                  <w:rFonts w:ascii="Arial" w:hAnsi="Arial" w:cs="Arial"/>
                  <w:i/>
                  <w:sz w:val="18"/>
                  <w:szCs w:val="18"/>
                  <w:lang w:val="es-ES"/>
                </w:rPr>
              </w:pPr>
              <w:r w:rsidRPr="00EA3A17">
                <w:rPr>
                  <w:rStyle w:val="Nmerodepgina"/>
                  <w:rFonts w:ascii="Arial" w:hAnsi="Arial" w:cs="Arial"/>
                  <w:i/>
                  <w:sz w:val="18"/>
                  <w:szCs w:val="18"/>
                </w:rPr>
                <w:fldChar w:fldCharType="begin"/>
              </w:r>
              <w:r w:rsidRPr="00EA3A17">
                <w:rPr>
                  <w:rStyle w:val="Nmerodepgina"/>
                  <w:rFonts w:ascii="Arial" w:hAnsi="Arial" w:cs="Arial"/>
                  <w:i/>
                  <w:sz w:val="18"/>
                  <w:szCs w:val="18"/>
                </w:rPr>
                <w:instrText xml:space="preserve"> PAGE </w:instrText>
              </w:r>
              <w:r w:rsidRPr="00EA3A17">
                <w:rPr>
                  <w:rStyle w:val="Nmerodepgina"/>
                  <w:rFonts w:ascii="Arial" w:hAnsi="Arial" w:cs="Arial"/>
                  <w:i/>
                  <w:sz w:val="18"/>
                  <w:szCs w:val="18"/>
                </w:rPr>
                <w:fldChar w:fldCharType="separate"/>
              </w:r>
              <w:r w:rsidR="00146814">
                <w:rPr>
                  <w:rStyle w:val="Nmerodepgina"/>
                  <w:rFonts w:ascii="Arial" w:hAnsi="Arial" w:cs="Arial"/>
                  <w:i/>
                  <w:noProof/>
                  <w:sz w:val="18"/>
                  <w:szCs w:val="18"/>
                </w:rPr>
                <w:t>21</w:t>
              </w:r>
              <w:r w:rsidRPr="00EA3A17">
                <w:rPr>
                  <w:rStyle w:val="Nmerodepgina"/>
                  <w:rFonts w:ascii="Arial" w:hAnsi="Arial" w:cs="Arial"/>
                  <w:i/>
                  <w:sz w:val="18"/>
                  <w:szCs w:val="18"/>
                </w:rPr>
                <w:fldChar w:fldCharType="end"/>
              </w:r>
            </w:p>
          </w:tc>
        </w:tr>
      </w:tbl>
      <w:p w:rsidR="00E75971" w:rsidRDefault="00E75971" w:rsidP="00853CE2">
        <w:pPr>
          <w:pStyle w:val="Piedepgin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9C2" w:rsidRDefault="004869C2" w:rsidP="008B2920">
      <w:pPr>
        <w:spacing w:after="0" w:line="240" w:lineRule="auto"/>
      </w:pPr>
      <w:r>
        <w:separator/>
      </w:r>
    </w:p>
  </w:footnote>
  <w:footnote w:type="continuationSeparator" w:id="0">
    <w:p w:rsidR="004869C2" w:rsidRDefault="004869C2" w:rsidP="008B2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46" w:type="pct"/>
      <w:jc w:val="center"/>
      <w:tblBorders>
        <w:top w:val="single" w:sz="12" w:space="0" w:color="94B6D2" w:themeColor="accent1"/>
        <w:left w:val="single" w:sz="12" w:space="0" w:color="94B6D2" w:themeColor="accent1"/>
        <w:bottom w:val="single" w:sz="12" w:space="0" w:color="94B6D2" w:themeColor="accent1"/>
        <w:right w:val="single" w:sz="12" w:space="0" w:color="94B6D2" w:themeColor="accent1"/>
        <w:insideH w:val="single" w:sz="12" w:space="0" w:color="94B6D2" w:themeColor="accent1"/>
        <w:insideV w:val="single" w:sz="12" w:space="0" w:color="94B6D2" w:themeColor="accent1"/>
      </w:tblBorders>
      <w:tblLayout w:type="fixed"/>
      <w:tblCellMar>
        <w:top w:w="547" w:type="dxa"/>
        <w:left w:w="360" w:type="dxa"/>
        <w:bottom w:w="547" w:type="dxa"/>
        <w:right w:w="360" w:type="dxa"/>
      </w:tblCellMar>
      <w:tblLook w:val="04A0" w:firstRow="1" w:lastRow="0" w:firstColumn="1" w:lastColumn="0" w:noHBand="0" w:noVBand="1"/>
      <w:tblDescription w:val="Tabla de diseño de encabezado"/>
    </w:tblPr>
    <w:tblGrid>
      <w:gridCol w:w="9713"/>
    </w:tblGrid>
    <w:tr w:rsidR="00E75971" w:rsidTr="00216F23">
      <w:trPr>
        <w:trHeight w:val="592"/>
        <w:jc w:val="center"/>
      </w:trPr>
      <w:tc>
        <w:tcPr>
          <w:tcW w:w="9714" w:type="dxa"/>
          <w:tcBorders>
            <w:bottom w:val="single" w:sz="12" w:space="0" w:color="94B6D2" w:themeColor="accent1"/>
          </w:tcBorders>
        </w:tcPr>
        <w:p w:rsidR="00E75971" w:rsidRDefault="00E75971" w:rsidP="00A90477">
          <w:pPr>
            <w:pStyle w:val="Ttulo1"/>
            <w:jc w:val="left"/>
          </w:pPr>
          <w:r w:rsidRPr="00A90477">
            <w:rPr>
              <w:noProof/>
              <w:lang w:val="es-MX" w:eastAsia="es-MX"/>
            </w:rPr>
            <w:drawing>
              <wp:anchor distT="0" distB="0" distL="114300" distR="114300" simplePos="0" relativeHeight="251663360" behindDoc="0" locked="0" layoutInCell="1" allowOverlap="1" wp14:anchorId="7DF8AA24" wp14:editId="47A41D04">
                <wp:simplePos x="0" y="0"/>
                <wp:positionH relativeFrom="column">
                  <wp:posOffset>4399280</wp:posOffset>
                </wp:positionH>
                <wp:positionV relativeFrom="paragraph">
                  <wp:posOffset>-43815</wp:posOffset>
                </wp:positionV>
                <wp:extent cx="1529080" cy="520065"/>
                <wp:effectExtent l="0" t="0" r="0" b="0"/>
                <wp:wrapNone/>
                <wp:docPr id="1" name="8 Imagen" descr="Colsan2"/>
                <wp:cNvGraphicFramePr/>
                <a:graphic xmlns:a="http://schemas.openxmlformats.org/drawingml/2006/main">
                  <a:graphicData uri="http://schemas.openxmlformats.org/drawingml/2006/picture">
                    <pic:pic xmlns:pic="http://schemas.openxmlformats.org/drawingml/2006/picture">
                      <pic:nvPicPr>
                        <pic:cNvPr id="9" name="8 Imagen" descr="Colsan2"/>
                        <pic:cNvPicPr/>
                      </pic:nvPicPr>
                      <pic:blipFill>
                        <a:blip r:embed="rId1"/>
                        <a:srcRect/>
                        <a:stretch>
                          <a:fillRect/>
                        </a:stretch>
                      </pic:blipFill>
                      <pic:spPr bwMode="auto">
                        <a:xfrm>
                          <a:off x="0" y="0"/>
                          <a:ext cx="1529080" cy="520065"/>
                        </a:xfrm>
                        <a:prstGeom prst="rect">
                          <a:avLst/>
                        </a:prstGeom>
                        <a:noFill/>
                      </pic:spPr>
                    </pic:pic>
                  </a:graphicData>
                </a:graphic>
                <wp14:sizeRelH relativeFrom="margin">
                  <wp14:pctWidth>0</wp14:pctWidth>
                </wp14:sizeRelH>
                <wp14:sizeRelV relativeFrom="margin">
                  <wp14:pctHeight>0</wp14:pctHeight>
                </wp14:sizeRelV>
              </wp:anchor>
            </w:drawing>
          </w:r>
          <w:r w:rsidRPr="00A90477">
            <w:rPr>
              <w:noProof/>
              <w:lang w:val="es-MX" w:eastAsia="es-MX"/>
            </w:rPr>
            <w:drawing>
              <wp:anchor distT="0" distB="0" distL="114300" distR="114300" simplePos="0" relativeHeight="251665408" behindDoc="0" locked="0" layoutInCell="1" allowOverlap="1" wp14:anchorId="7DF9F8B1" wp14:editId="79C6A11F">
                <wp:simplePos x="0" y="0"/>
                <wp:positionH relativeFrom="column">
                  <wp:posOffset>2179955</wp:posOffset>
                </wp:positionH>
                <wp:positionV relativeFrom="paragraph">
                  <wp:posOffset>-83185</wp:posOffset>
                </wp:positionV>
                <wp:extent cx="1718310" cy="60833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ACYT-azul-gr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8310" cy="608330"/>
                        </a:xfrm>
                        <a:prstGeom prst="rect">
                          <a:avLst/>
                        </a:prstGeom>
                      </pic:spPr>
                    </pic:pic>
                  </a:graphicData>
                </a:graphic>
                <wp14:sizeRelH relativeFrom="page">
                  <wp14:pctWidth>0</wp14:pctWidth>
                </wp14:sizeRelH>
                <wp14:sizeRelV relativeFrom="page">
                  <wp14:pctHeight>0</wp14:pctHeight>
                </wp14:sizeRelV>
              </wp:anchor>
            </w:drawing>
          </w:r>
          <w:r w:rsidRPr="00A90477">
            <w:rPr>
              <w:noProof/>
              <w:lang w:val="es-MX" w:eastAsia="es-MX"/>
            </w:rPr>
            <w:drawing>
              <wp:anchor distT="0" distB="0" distL="114300" distR="114300" simplePos="0" relativeHeight="251664384" behindDoc="0" locked="0" layoutInCell="1" allowOverlap="1" wp14:anchorId="54202828" wp14:editId="70B17725">
                <wp:simplePos x="0" y="0"/>
                <wp:positionH relativeFrom="column">
                  <wp:posOffset>-19050</wp:posOffset>
                </wp:positionH>
                <wp:positionV relativeFrom="paragraph">
                  <wp:posOffset>-93980</wp:posOffset>
                </wp:positionV>
                <wp:extent cx="1733550" cy="584200"/>
                <wp:effectExtent l="0" t="0" r="0" b="6350"/>
                <wp:wrapNone/>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33550" cy="584200"/>
                        </a:xfrm>
                        <a:prstGeom prst="rect">
                          <a:avLst/>
                        </a:prstGeom>
                      </pic:spPr>
                    </pic:pic>
                  </a:graphicData>
                </a:graphic>
                <wp14:sizeRelH relativeFrom="margin">
                  <wp14:pctWidth>0</wp14:pctWidth>
                </wp14:sizeRelH>
                <wp14:sizeRelV relativeFrom="margin">
                  <wp14:pctHeight>0</wp14:pctHeight>
                </wp14:sizeRelV>
              </wp:anchor>
            </w:drawing>
          </w:r>
        </w:p>
      </w:tc>
    </w:tr>
    <w:tr w:rsidR="00E75971" w:rsidTr="00216F23">
      <w:trPr>
        <w:trHeight w:hRule="exact" w:val="67"/>
        <w:jc w:val="center"/>
      </w:trPr>
      <w:tc>
        <w:tcPr>
          <w:tcW w:w="9714" w:type="dxa"/>
          <w:tcBorders>
            <w:left w:val="nil"/>
            <w:bottom w:val="nil"/>
            <w:right w:val="nil"/>
          </w:tcBorders>
          <w:tcMar>
            <w:top w:w="0" w:type="dxa"/>
            <w:left w:w="0" w:type="dxa"/>
            <w:bottom w:w="0" w:type="dxa"/>
            <w:right w:w="0" w:type="dxa"/>
          </w:tcMar>
        </w:tcPr>
        <w:p w:rsidR="00E75971" w:rsidRDefault="00E75971" w:rsidP="00A90477"/>
      </w:tc>
    </w:tr>
  </w:tbl>
  <w:p w:rsidR="00E75971" w:rsidRDefault="00E75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56" w:type="pct"/>
      <w:jc w:val="center"/>
      <w:tblBorders>
        <w:top w:val="single" w:sz="12" w:space="0" w:color="94B6D2" w:themeColor="accent1"/>
        <w:left w:val="single" w:sz="12" w:space="0" w:color="94B6D2" w:themeColor="accent1"/>
        <w:bottom w:val="single" w:sz="12" w:space="0" w:color="94B6D2" w:themeColor="accent1"/>
        <w:right w:val="single" w:sz="12" w:space="0" w:color="94B6D2" w:themeColor="accent1"/>
        <w:insideH w:val="single" w:sz="12" w:space="0" w:color="94B6D2" w:themeColor="accent1"/>
        <w:insideV w:val="single" w:sz="12" w:space="0" w:color="94B6D2" w:themeColor="accent1"/>
      </w:tblBorders>
      <w:tblLayout w:type="fixed"/>
      <w:tblCellMar>
        <w:top w:w="547" w:type="dxa"/>
        <w:left w:w="360" w:type="dxa"/>
        <w:bottom w:w="547" w:type="dxa"/>
        <w:right w:w="360" w:type="dxa"/>
      </w:tblCellMar>
      <w:tblLook w:val="04A0" w:firstRow="1" w:lastRow="0" w:firstColumn="1" w:lastColumn="0" w:noHBand="0" w:noVBand="1"/>
      <w:tblDescription w:val="Tabla de diseño de encabezado"/>
    </w:tblPr>
    <w:tblGrid>
      <w:gridCol w:w="9731"/>
    </w:tblGrid>
    <w:tr w:rsidR="00E75971" w:rsidTr="00216F23">
      <w:trPr>
        <w:trHeight w:val="602"/>
        <w:jc w:val="center"/>
      </w:trPr>
      <w:tc>
        <w:tcPr>
          <w:tcW w:w="9730" w:type="dxa"/>
          <w:tcBorders>
            <w:bottom w:val="single" w:sz="12" w:space="0" w:color="94B6D2" w:themeColor="accent1"/>
          </w:tcBorders>
        </w:tcPr>
        <w:p w:rsidR="00E75971" w:rsidRDefault="00E75971" w:rsidP="00A90477">
          <w:pPr>
            <w:pStyle w:val="Ttulo1"/>
            <w:jc w:val="left"/>
          </w:pPr>
          <w:r w:rsidRPr="00A90477">
            <w:rPr>
              <w:noProof/>
              <w:lang w:val="es-MX" w:eastAsia="es-MX"/>
            </w:rPr>
            <w:drawing>
              <wp:anchor distT="0" distB="0" distL="114300" distR="114300" simplePos="0" relativeHeight="251659264" behindDoc="0" locked="0" layoutInCell="1" allowOverlap="1" wp14:anchorId="14794687" wp14:editId="0B935601">
                <wp:simplePos x="0" y="0"/>
                <wp:positionH relativeFrom="column">
                  <wp:posOffset>4399280</wp:posOffset>
                </wp:positionH>
                <wp:positionV relativeFrom="paragraph">
                  <wp:posOffset>-43815</wp:posOffset>
                </wp:positionV>
                <wp:extent cx="1529080" cy="520065"/>
                <wp:effectExtent l="0" t="0" r="0" b="0"/>
                <wp:wrapNone/>
                <wp:docPr id="79" name="8 Imagen" descr="Colsan2"/>
                <wp:cNvGraphicFramePr/>
                <a:graphic xmlns:a="http://schemas.openxmlformats.org/drawingml/2006/main">
                  <a:graphicData uri="http://schemas.openxmlformats.org/drawingml/2006/picture">
                    <pic:pic xmlns:pic="http://schemas.openxmlformats.org/drawingml/2006/picture">
                      <pic:nvPicPr>
                        <pic:cNvPr id="9" name="8 Imagen" descr="Colsan2"/>
                        <pic:cNvPicPr/>
                      </pic:nvPicPr>
                      <pic:blipFill>
                        <a:blip r:embed="rId1"/>
                        <a:srcRect/>
                        <a:stretch>
                          <a:fillRect/>
                        </a:stretch>
                      </pic:blipFill>
                      <pic:spPr bwMode="auto">
                        <a:xfrm>
                          <a:off x="0" y="0"/>
                          <a:ext cx="1529080" cy="520065"/>
                        </a:xfrm>
                        <a:prstGeom prst="rect">
                          <a:avLst/>
                        </a:prstGeom>
                        <a:noFill/>
                      </pic:spPr>
                    </pic:pic>
                  </a:graphicData>
                </a:graphic>
                <wp14:sizeRelH relativeFrom="margin">
                  <wp14:pctWidth>0</wp14:pctWidth>
                </wp14:sizeRelH>
                <wp14:sizeRelV relativeFrom="margin">
                  <wp14:pctHeight>0</wp14:pctHeight>
                </wp14:sizeRelV>
              </wp:anchor>
            </w:drawing>
          </w:r>
          <w:r w:rsidRPr="00A90477">
            <w:rPr>
              <w:noProof/>
              <w:lang w:val="es-MX" w:eastAsia="es-MX"/>
            </w:rPr>
            <w:drawing>
              <wp:anchor distT="0" distB="0" distL="114300" distR="114300" simplePos="0" relativeHeight="251661312" behindDoc="0" locked="0" layoutInCell="1" allowOverlap="1" wp14:anchorId="595F8B46" wp14:editId="416ED3CC">
                <wp:simplePos x="0" y="0"/>
                <wp:positionH relativeFrom="column">
                  <wp:posOffset>2179955</wp:posOffset>
                </wp:positionH>
                <wp:positionV relativeFrom="paragraph">
                  <wp:posOffset>-83185</wp:posOffset>
                </wp:positionV>
                <wp:extent cx="1718310" cy="608330"/>
                <wp:effectExtent l="0" t="0" r="0" b="0"/>
                <wp:wrapNone/>
                <wp:docPr id="8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ACYT-azul-gr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8310" cy="608330"/>
                        </a:xfrm>
                        <a:prstGeom prst="rect">
                          <a:avLst/>
                        </a:prstGeom>
                      </pic:spPr>
                    </pic:pic>
                  </a:graphicData>
                </a:graphic>
                <wp14:sizeRelH relativeFrom="page">
                  <wp14:pctWidth>0</wp14:pctWidth>
                </wp14:sizeRelH>
                <wp14:sizeRelV relativeFrom="page">
                  <wp14:pctHeight>0</wp14:pctHeight>
                </wp14:sizeRelV>
              </wp:anchor>
            </w:drawing>
          </w:r>
          <w:r w:rsidRPr="00A90477">
            <w:rPr>
              <w:noProof/>
              <w:lang w:val="es-MX" w:eastAsia="es-MX"/>
            </w:rPr>
            <w:drawing>
              <wp:anchor distT="0" distB="0" distL="114300" distR="114300" simplePos="0" relativeHeight="251660288" behindDoc="0" locked="0" layoutInCell="1" allowOverlap="1" wp14:anchorId="5E2365CF" wp14:editId="0F05B08F">
                <wp:simplePos x="0" y="0"/>
                <wp:positionH relativeFrom="column">
                  <wp:posOffset>-19050</wp:posOffset>
                </wp:positionH>
                <wp:positionV relativeFrom="paragraph">
                  <wp:posOffset>-93980</wp:posOffset>
                </wp:positionV>
                <wp:extent cx="1733550" cy="584200"/>
                <wp:effectExtent l="0" t="0" r="0" b="6350"/>
                <wp:wrapNone/>
                <wp:docPr id="80"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33550" cy="584200"/>
                        </a:xfrm>
                        <a:prstGeom prst="rect">
                          <a:avLst/>
                        </a:prstGeom>
                      </pic:spPr>
                    </pic:pic>
                  </a:graphicData>
                </a:graphic>
                <wp14:sizeRelH relativeFrom="margin">
                  <wp14:pctWidth>0</wp14:pctWidth>
                </wp14:sizeRelH>
                <wp14:sizeRelV relativeFrom="margin">
                  <wp14:pctHeight>0</wp14:pctHeight>
                </wp14:sizeRelV>
              </wp:anchor>
            </w:drawing>
          </w:r>
        </w:p>
      </w:tc>
    </w:tr>
    <w:tr w:rsidR="00E75971" w:rsidTr="00216F23">
      <w:trPr>
        <w:trHeight w:hRule="exact" w:val="68"/>
        <w:jc w:val="center"/>
      </w:trPr>
      <w:tc>
        <w:tcPr>
          <w:tcW w:w="9730" w:type="dxa"/>
          <w:tcBorders>
            <w:left w:val="nil"/>
            <w:bottom w:val="nil"/>
            <w:right w:val="nil"/>
          </w:tcBorders>
          <w:tcMar>
            <w:top w:w="0" w:type="dxa"/>
            <w:left w:w="0" w:type="dxa"/>
            <w:bottom w:w="0" w:type="dxa"/>
            <w:right w:w="0" w:type="dxa"/>
          </w:tcMar>
        </w:tcPr>
        <w:p w:rsidR="00E75971" w:rsidRDefault="00E75971" w:rsidP="00142F58"/>
      </w:tc>
    </w:tr>
  </w:tbl>
  <w:p w:rsidR="00E75971" w:rsidRDefault="00E759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D63CE"/>
    <w:multiLevelType w:val="multilevel"/>
    <w:tmpl w:val="3E5A8168"/>
    <w:lvl w:ilvl="0">
      <w:start w:val="5"/>
      <w:numFmt w:val="decimal"/>
      <w:lvlText w:val="%1"/>
      <w:lvlJc w:val="left"/>
      <w:pPr>
        <w:ind w:left="600" w:hanging="600"/>
      </w:pPr>
      <w:rPr>
        <w:rFonts w:ascii="Arial" w:hAnsi="Arial" w:cs="Arial" w:hint="default"/>
        <w:color w:val="FFFFFF" w:themeColor="background1"/>
        <w:sz w:val="44"/>
      </w:rPr>
    </w:lvl>
    <w:lvl w:ilvl="1">
      <w:start w:val="1"/>
      <w:numFmt w:val="decimal"/>
      <w:lvlText w:val="%1.%2"/>
      <w:lvlJc w:val="left"/>
      <w:pPr>
        <w:ind w:left="600" w:hanging="600"/>
      </w:pPr>
      <w:rPr>
        <w:rFonts w:ascii="Arial" w:hAnsi="Arial" w:cs="Arial" w:hint="default"/>
        <w:color w:val="FFFFFF" w:themeColor="background1"/>
        <w:sz w:val="44"/>
      </w:rPr>
    </w:lvl>
    <w:lvl w:ilvl="2">
      <w:start w:val="1"/>
      <w:numFmt w:val="decimal"/>
      <w:lvlText w:val="%1.%2.%3"/>
      <w:lvlJc w:val="left"/>
      <w:pPr>
        <w:ind w:left="720" w:hanging="720"/>
      </w:pPr>
      <w:rPr>
        <w:rFonts w:ascii="Arial" w:hAnsi="Arial" w:cs="Arial" w:hint="default"/>
        <w:color w:val="FFFFFF" w:themeColor="background1"/>
        <w:sz w:val="44"/>
      </w:rPr>
    </w:lvl>
    <w:lvl w:ilvl="3">
      <w:start w:val="1"/>
      <w:numFmt w:val="decimal"/>
      <w:lvlText w:val="%1.%2.%3.%4"/>
      <w:lvlJc w:val="left"/>
      <w:pPr>
        <w:ind w:left="720" w:hanging="720"/>
      </w:pPr>
      <w:rPr>
        <w:rFonts w:ascii="Arial" w:hAnsi="Arial" w:cs="Arial" w:hint="default"/>
        <w:color w:val="FFFFFF" w:themeColor="background1"/>
        <w:sz w:val="44"/>
      </w:rPr>
    </w:lvl>
    <w:lvl w:ilvl="4">
      <w:start w:val="1"/>
      <w:numFmt w:val="decimal"/>
      <w:lvlText w:val="%1.%2.%3.%4.%5"/>
      <w:lvlJc w:val="left"/>
      <w:pPr>
        <w:ind w:left="1080" w:hanging="1080"/>
      </w:pPr>
      <w:rPr>
        <w:rFonts w:ascii="Arial" w:hAnsi="Arial" w:cs="Arial" w:hint="default"/>
        <w:color w:val="FFFFFF" w:themeColor="background1"/>
        <w:sz w:val="44"/>
      </w:rPr>
    </w:lvl>
    <w:lvl w:ilvl="5">
      <w:start w:val="1"/>
      <w:numFmt w:val="decimal"/>
      <w:lvlText w:val="%1.%2.%3.%4.%5.%6"/>
      <w:lvlJc w:val="left"/>
      <w:pPr>
        <w:ind w:left="1080" w:hanging="1080"/>
      </w:pPr>
      <w:rPr>
        <w:rFonts w:ascii="Arial" w:hAnsi="Arial" w:cs="Arial" w:hint="default"/>
        <w:color w:val="FFFFFF" w:themeColor="background1"/>
        <w:sz w:val="44"/>
      </w:rPr>
    </w:lvl>
    <w:lvl w:ilvl="6">
      <w:start w:val="1"/>
      <w:numFmt w:val="decimal"/>
      <w:lvlText w:val="%1.%2.%3.%4.%5.%6.%7"/>
      <w:lvlJc w:val="left"/>
      <w:pPr>
        <w:ind w:left="1440" w:hanging="1440"/>
      </w:pPr>
      <w:rPr>
        <w:rFonts w:ascii="Arial" w:hAnsi="Arial" w:cs="Arial" w:hint="default"/>
        <w:color w:val="FFFFFF" w:themeColor="background1"/>
        <w:sz w:val="44"/>
      </w:rPr>
    </w:lvl>
    <w:lvl w:ilvl="7">
      <w:start w:val="1"/>
      <w:numFmt w:val="decimal"/>
      <w:lvlText w:val="%1.%2.%3.%4.%5.%6.%7.%8"/>
      <w:lvlJc w:val="left"/>
      <w:pPr>
        <w:ind w:left="1440" w:hanging="1440"/>
      </w:pPr>
      <w:rPr>
        <w:rFonts w:ascii="Arial" w:hAnsi="Arial" w:cs="Arial" w:hint="default"/>
        <w:color w:val="FFFFFF" w:themeColor="background1"/>
        <w:sz w:val="44"/>
      </w:rPr>
    </w:lvl>
    <w:lvl w:ilvl="8">
      <w:start w:val="1"/>
      <w:numFmt w:val="decimal"/>
      <w:lvlText w:val="%1.%2.%3.%4.%5.%6.%7.%8.%9"/>
      <w:lvlJc w:val="left"/>
      <w:pPr>
        <w:ind w:left="1800" w:hanging="1800"/>
      </w:pPr>
      <w:rPr>
        <w:rFonts w:ascii="Arial" w:hAnsi="Arial" w:cs="Arial" w:hint="default"/>
        <w:color w:val="FFFFFF" w:themeColor="background1"/>
        <w:sz w:val="44"/>
      </w:rPr>
    </w:lvl>
  </w:abstractNum>
  <w:abstractNum w:abstractNumId="1" w15:restartNumberingAfterBreak="0">
    <w:nsid w:val="76D63277"/>
    <w:multiLevelType w:val="hybridMultilevel"/>
    <w:tmpl w:val="6DCA4C86"/>
    <w:lvl w:ilvl="0" w:tplc="1E4003F4">
      <w:start w:val="1"/>
      <w:numFmt w:val="decimal"/>
      <w:lvlText w:val="%1."/>
      <w:lvlJc w:val="left"/>
      <w:pPr>
        <w:ind w:left="720" w:hanging="360"/>
      </w:pPr>
      <w:rPr>
        <w:rFonts w:ascii="Arial" w:hAnsi="Arial" w:cs="Arial" w:hint="default"/>
        <w:color w:val="FFFFFF" w:themeColor="background1"/>
        <w:sz w:val="4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77"/>
    <w:rsid w:val="000243D1"/>
    <w:rsid w:val="00057F04"/>
    <w:rsid w:val="000A378C"/>
    <w:rsid w:val="0010042F"/>
    <w:rsid w:val="00135C2C"/>
    <w:rsid w:val="00142F58"/>
    <w:rsid w:val="00146814"/>
    <w:rsid w:val="00153ED4"/>
    <w:rsid w:val="00184664"/>
    <w:rsid w:val="001D5162"/>
    <w:rsid w:val="001F60D3"/>
    <w:rsid w:val="00216F23"/>
    <w:rsid w:val="0027115C"/>
    <w:rsid w:val="00293B83"/>
    <w:rsid w:val="00344C1D"/>
    <w:rsid w:val="00362C4A"/>
    <w:rsid w:val="00390414"/>
    <w:rsid w:val="003B5B09"/>
    <w:rsid w:val="003D2647"/>
    <w:rsid w:val="003E1711"/>
    <w:rsid w:val="0045425A"/>
    <w:rsid w:val="00454631"/>
    <w:rsid w:val="00463A38"/>
    <w:rsid w:val="004670DD"/>
    <w:rsid w:val="004753DE"/>
    <w:rsid w:val="0048346B"/>
    <w:rsid w:val="004869C2"/>
    <w:rsid w:val="004E4CA5"/>
    <w:rsid w:val="00502D70"/>
    <w:rsid w:val="00510920"/>
    <w:rsid w:val="005B0E81"/>
    <w:rsid w:val="00630D36"/>
    <w:rsid w:val="006337E6"/>
    <w:rsid w:val="00663E20"/>
    <w:rsid w:val="006A3CE7"/>
    <w:rsid w:val="006B155A"/>
    <w:rsid w:val="006C6DEF"/>
    <w:rsid w:val="006F1734"/>
    <w:rsid w:val="006F57E0"/>
    <w:rsid w:val="00755151"/>
    <w:rsid w:val="00771B40"/>
    <w:rsid w:val="00781D13"/>
    <w:rsid w:val="00783C41"/>
    <w:rsid w:val="00787503"/>
    <w:rsid w:val="007B20BF"/>
    <w:rsid w:val="007E7032"/>
    <w:rsid w:val="0080316C"/>
    <w:rsid w:val="0081149D"/>
    <w:rsid w:val="00833359"/>
    <w:rsid w:val="00853CE2"/>
    <w:rsid w:val="00855127"/>
    <w:rsid w:val="00860491"/>
    <w:rsid w:val="00860969"/>
    <w:rsid w:val="00865684"/>
    <w:rsid w:val="00887A77"/>
    <w:rsid w:val="008A6708"/>
    <w:rsid w:val="008B2920"/>
    <w:rsid w:val="008B2DF7"/>
    <w:rsid w:val="008F31DC"/>
    <w:rsid w:val="009039F1"/>
    <w:rsid w:val="009244EC"/>
    <w:rsid w:val="00A04662"/>
    <w:rsid w:val="00A213B1"/>
    <w:rsid w:val="00A458EE"/>
    <w:rsid w:val="00A50A33"/>
    <w:rsid w:val="00A85B6F"/>
    <w:rsid w:val="00A90477"/>
    <w:rsid w:val="00AA3476"/>
    <w:rsid w:val="00AA6B7B"/>
    <w:rsid w:val="00AB1351"/>
    <w:rsid w:val="00AB540C"/>
    <w:rsid w:val="00AC5D83"/>
    <w:rsid w:val="00AE6DA2"/>
    <w:rsid w:val="00B23D50"/>
    <w:rsid w:val="00B41780"/>
    <w:rsid w:val="00B50F9D"/>
    <w:rsid w:val="00B56F21"/>
    <w:rsid w:val="00B67DB0"/>
    <w:rsid w:val="00BD5EFB"/>
    <w:rsid w:val="00C0599C"/>
    <w:rsid w:val="00C35EFB"/>
    <w:rsid w:val="00C73037"/>
    <w:rsid w:val="00CD7978"/>
    <w:rsid w:val="00D2689C"/>
    <w:rsid w:val="00D558E4"/>
    <w:rsid w:val="00D73C34"/>
    <w:rsid w:val="00DF6A6F"/>
    <w:rsid w:val="00E20402"/>
    <w:rsid w:val="00E7158F"/>
    <w:rsid w:val="00E75971"/>
    <w:rsid w:val="00E928A3"/>
    <w:rsid w:val="00F1144D"/>
    <w:rsid w:val="00F52169"/>
    <w:rsid w:val="00F67FBA"/>
    <w:rsid w:val="00F76EDF"/>
    <w:rsid w:val="00F80788"/>
    <w:rsid w:val="00F879CE"/>
    <w:rsid w:val="00FA31AB"/>
    <w:rsid w:val="00FB4333"/>
    <w:rsid w:val="00FC359F"/>
    <w:rsid w:val="00FC75EA"/>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B13F62-E685-4C6B-B01D-B0C07B58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75F55" w:themeColor="text2"/>
        <w:lang w:val="es-ES" w:eastAsia="en-US" w:bidi="ar-SA"/>
      </w:rPr>
    </w:rPrDefault>
    <w:pPrDefault>
      <w:pPr>
        <w:spacing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31"/>
  </w:style>
  <w:style w:type="paragraph" w:styleId="Ttulo1">
    <w:name w:val="heading 1"/>
    <w:basedOn w:val="Normal"/>
    <w:link w:val="Ttulo1Car"/>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Ttulo2">
    <w:name w:val="heading 2"/>
    <w:basedOn w:val="Normal"/>
    <w:link w:val="Ttulo2Car"/>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Ttulo3">
    <w:name w:val="heading 3"/>
    <w:basedOn w:val="Normal"/>
    <w:link w:val="Ttulo3Car"/>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semiHidden/>
    <w:unhideWhenUsed/>
    <w:qFormat/>
    <w:rsid w:val="004E4CA5"/>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Ttulo5">
    <w:name w:val="heading 5"/>
    <w:basedOn w:val="Normal"/>
    <w:next w:val="Normal"/>
    <w:link w:val="Ttulo5Car"/>
    <w:uiPriority w:val="9"/>
    <w:semiHidden/>
    <w:unhideWhenUsed/>
    <w:qFormat/>
    <w:rsid w:val="004E4CA5"/>
    <w:pPr>
      <w:keepNext/>
      <w:keepLines/>
      <w:spacing w:before="40" w:after="0"/>
      <w:outlineLvl w:val="4"/>
    </w:pPr>
    <w:rPr>
      <w:rFonts w:asciiTheme="majorHAnsi" w:eastAsiaTheme="majorEastAsia" w:hAnsiTheme="majorHAnsi" w:cstheme="majorBidi"/>
      <w:color w:val="548AB7"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Ttulo2Car">
    <w:name w:val="Título 2 Car"/>
    <w:basedOn w:val="Fuentedeprrafopredeter"/>
    <w:link w:val="Ttulo2"/>
    <w:uiPriority w:val="9"/>
    <w:rsid w:val="00A50A33"/>
    <w:rPr>
      <w:rFonts w:asciiTheme="majorHAnsi" w:eastAsiaTheme="majorEastAsia" w:hAnsiTheme="majorHAnsi" w:cstheme="majorBidi"/>
      <w:caps/>
      <w:spacing w:val="50"/>
      <w:sz w:val="26"/>
      <w:szCs w:val="26"/>
    </w:rPr>
  </w:style>
  <w:style w:type="character" w:customStyle="1" w:styleId="Ttulo3Car">
    <w:name w:val="Título 3 Car"/>
    <w:basedOn w:val="Fuentedeprrafopredeter"/>
    <w:link w:val="Ttulo3"/>
    <w:uiPriority w:val="9"/>
    <w:rsid w:val="003B5B09"/>
    <w:rPr>
      <w:rFonts w:asciiTheme="majorHAnsi" w:eastAsiaTheme="majorEastAsia" w:hAnsiTheme="majorHAnsi" w:cstheme="majorBidi"/>
      <w:b/>
      <w:szCs w:val="24"/>
    </w:rPr>
  </w:style>
  <w:style w:type="paragraph" w:styleId="Encabezado">
    <w:name w:val="header"/>
    <w:basedOn w:val="Normal"/>
    <w:link w:val="EncabezadoCar"/>
    <w:uiPriority w:val="99"/>
    <w:unhideWhenUsed/>
    <w:rsid w:val="00A85B6F"/>
    <w:pPr>
      <w:spacing w:after="0" w:line="240" w:lineRule="auto"/>
    </w:pPr>
  </w:style>
  <w:style w:type="character" w:customStyle="1" w:styleId="EncabezadoCar">
    <w:name w:val="Encabezado Car"/>
    <w:basedOn w:val="Fuentedeprrafopredeter"/>
    <w:link w:val="Encabezado"/>
    <w:uiPriority w:val="99"/>
    <w:rsid w:val="00A85B6F"/>
  </w:style>
  <w:style w:type="paragraph" w:styleId="Piedepgina">
    <w:name w:val="footer"/>
    <w:basedOn w:val="Normal"/>
    <w:link w:val="PiedepginaCar"/>
    <w:uiPriority w:val="99"/>
    <w:unhideWhenUsed/>
    <w:qFormat/>
    <w:rsid w:val="00510920"/>
    <w:pPr>
      <w:spacing w:after="0" w:line="240" w:lineRule="auto"/>
    </w:pPr>
  </w:style>
  <w:style w:type="character" w:customStyle="1" w:styleId="PiedepginaCar">
    <w:name w:val="Pie de página Car"/>
    <w:basedOn w:val="Fuentedeprrafopredeter"/>
    <w:link w:val="Piedepgina"/>
    <w:uiPriority w:val="99"/>
    <w:rsid w:val="00510920"/>
  </w:style>
  <w:style w:type="character" w:customStyle="1" w:styleId="Ttulo4Car">
    <w:name w:val="Título 4 Car"/>
    <w:basedOn w:val="Fuentedeprrafopredeter"/>
    <w:link w:val="Ttulo4"/>
    <w:uiPriority w:val="9"/>
    <w:semiHidden/>
    <w:rsid w:val="004E4CA5"/>
    <w:rPr>
      <w:rFonts w:asciiTheme="majorHAnsi" w:eastAsiaTheme="majorEastAsia" w:hAnsiTheme="majorHAnsi" w:cstheme="majorBidi"/>
      <w:i/>
      <w:iCs/>
      <w:color w:val="548AB7" w:themeColor="accent1" w:themeShade="BF"/>
    </w:rPr>
  </w:style>
  <w:style w:type="character" w:customStyle="1" w:styleId="Ttulo5Car">
    <w:name w:val="Título 5 Car"/>
    <w:basedOn w:val="Fuentedeprrafopredeter"/>
    <w:link w:val="Ttulo5"/>
    <w:uiPriority w:val="9"/>
    <w:semiHidden/>
    <w:rsid w:val="004E4CA5"/>
    <w:rPr>
      <w:rFonts w:asciiTheme="majorHAnsi" w:eastAsiaTheme="majorEastAsia" w:hAnsiTheme="majorHAnsi" w:cstheme="majorBidi"/>
      <w:color w:val="548AB7" w:themeColor="accent1" w:themeShade="BF"/>
    </w:rPr>
  </w:style>
  <w:style w:type="character" w:styleId="Textodelmarcadordeposicin">
    <w:name w:val="Placeholder Text"/>
    <w:basedOn w:val="Fuentedeprrafopredeter"/>
    <w:uiPriority w:val="99"/>
    <w:semiHidden/>
    <w:rsid w:val="004E4CA5"/>
    <w:rPr>
      <w:color w:val="808080"/>
    </w:rPr>
  </w:style>
  <w:style w:type="paragraph" w:styleId="Sinespaciado">
    <w:name w:val="No Spacing"/>
    <w:uiPriority w:val="98"/>
    <w:qFormat/>
    <w:rsid w:val="00F879CE"/>
    <w:pPr>
      <w:spacing w:after="0" w:line="240" w:lineRule="auto"/>
    </w:pPr>
  </w:style>
  <w:style w:type="paragraph" w:styleId="Textodeglobo">
    <w:name w:val="Balloon Text"/>
    <w:basedOn w:val="Normal"/>
    <w:link w:val="TextodegloboCar"/>
    <w:uiPriority w:val="99"/>
    <w:semiHidden/>
    <w:unhideWhenUsed/>
    <w:rsid w:val="00E928A3"/>
    <w:pPr>
      <w:spacing w:after="0" w:line="240" w:lineRule="auto"/>
    </w:pPr>
    <w:rPr>
      <w:rFonts w:ascii="Segoe UI" w:hAnsi="Segoe UI" w:cs="Segoe UI"/>
    </w:rPr>
  </w:style>
  <w:style w:type="character" w:customStyle="1" w:styleId="TextodegloboCar">
    <w:name w:val="Texto de globo Car"/>
    <w:basedOn w:val="Fuentedeprrafopredeter"/>
    <w:link w:val="Textodeglobo"/>
    <w:uiPriority w:val="99"/>
    <w:semiHidden/>
    <w:rsid w:val="00E928A3"/>
    <w:rPr>
      <w:rFonts w:ascii="Segoe UI" w:hAnsi="Segoe UI" w:cs="Segoe UI"/>
    </w:rPr>
  </w:style>
  <w:style w:type="character" w:styleId="Refdecomentario">
    <w:name w:val="annotation reference"/>
    <w:basedOn w:val="Fuentedeprrafopredeter"/>
    <w:uiPriority w:val="99"/>
    <w:semiHidden/>
    <w:unhideWhenUsed/>
    <w:rsid w:val="00390414"/>
    <w:rPr>
      <w:sz w:val="16"/>
      <w:szCs w:val="16"/>
    </w:rPr>
  </w:style>
  <w:style w:type="paragraph" w:styleId="Textocomentario">
    <w:name w:val="annotation text"/>
    <w:basedOn w:val="Normal"/>
    <w:link w:val="TextocomentarioCar"/>
    <w:uiPriority w:val="99"/>
    <w:semiHidden/>
    <w:unhideWhenUsed/>
    <w:rsid w:val="00390414"/>
    <w:pPr>
      <w:spacing w:line="240" w:lineRule="auto"/>
    </w:pPr>
  </w:style>
  <w:style w:type="character" w:customStyle="1" w:styleId="TextocomentarioCar">
    <w:name w:val="Texto comentario Car"/>
    <w:basedOn w:val="Fuentedeprrafopredeter"/>
    <w:link w:val="Textocomentario"/>
    <w:uiPriority w:val="99"/>
    <w:semiHidden/>
    <w:rsid w:val="00390414"/>
    <w:rPr>
      <w:sz w:val="20"/>
      <w:szCs w:val="20"/>
    </w:rPr>
  </w:style>
  <w:style w:type="paragraph" w:styleId="Asuntodelcomentario">
    <w:name w:val="annotation subject"/>
    <w:basedOn w:val="Textocomentario"/>
    <w:next w:val="Textocomentario"/>
    <w:link w:val="AsuntodelcomentarioCar"/>
    <w:uiPriority w:val="99"/>
    <w:semiHidden/>
    <w:unhideWhenUsed/>
    <w:rsid w:val="00390414"/>
    <w:rPr>
      <w:b/>
      <w:bCs/>
    </w:rPr>
  </w:style>
  <w:style w:type="character" w:customStyle="1" w:styleId="AsuntodelcomentarioCar">
    <w:name w:val="Asunto del comentario Car"/>
    <w:basedOn w:val="TextocomentarioCar"/>
    <w:link w:val="Asuntodelcomentario"/>
    <w:uiPriority w:val="99"/>
    <w:semiHidden/>
    <w:rsid w:val="00390414"/>
    <w:rPr>
      <w:b/>
      <w:bCs/>
      <w:sz w:val="20"/>
      <w:szCs w:val="20"/>
    </w:rPr>
  </w:style>
  <w:style w:type="paragraph" w:styleId="Saludo">
    <w:name w:val="Salutation"/>
    <w:basedOn w:val="Normal"/>
    <w:next w:val="Normal"/>
    <w:link w:val="SaludoCar"/>
    <w:uiPriority w:val="12"/>
    <w:qFormat/>
    <w:rsid w:val="00362C4A"/>
    <w:pPr>
      <w:spacing w:after="120"/>
    </w:pPr>
  </w:style>
  <w:style w:type="character" w:customStyle="1" w:styleId="SaludoCar">
    <w:name w:val="Saludo Car"/>
    <w:basedOn w:val="Fuentedeprrafopredeter"/>
    <w:link w:val="Saludo"/>
    <w:uiPriority w:val="12"/>
    <w:rsid w:val="00362C4A"/>
  </w:style>
  <w:style w:type="paragraph" w:styleId="Cierre">
    <w:name w:val="Closing"/>
    <w:basedOn w:val="Normal"/>
    <w:next w:val="Firma"/>
    <w:link w:val="CierreCar"/>
    <w:uiPriority w:val="13"/>
    <w:qFormat/>
    <w:rsid w:val="00362C4A"/>
    <w:pPr>
      <w:spacing w:before="360" w:after="120"/>
      <w:contextualSpacing/>
    </w:pPr>
  </w:style>
  <w:style w:type="character" w:customStyle="1" w:styleId="CierreCar">
    <w:name w:val="Cierre Car"/>
    <w:basedOn w:val="Fuentedeprrafopredeter"/>
    <w:link w:val="Cierre"/>
    <w:uiPriority w:val="13"/>
    <w:rsid w:val="00B56F21"/>
  </w:style>
  <w:style w:type="paragraph" w:styleId="Firma">
    <w:name w:val="Signature"/>
    <w:basedOn w:val="Normal"/>
    <w:next w:val="Normal"/>
    <w:link w:val="FirmaCar"/>
    <w:uiPriority w:val="14"/>
    <w:qFormat/>
    <w:rsid w:val="00362C4A"/>
    <w:pPr>
      <w:spacing w:after="120" w:line="240" w:lineRule="auto"/>
    </w:pPr>
  </w:style>
  <w:style w:type="character" w:customStyle="1" w:styleId="FirmaCar">
    <w:name w:val="Firma Car"/>
    <w:basedOn w:val="Fuentedeprrafopredeter"/>
    <w:link w:val="Firma"/>
    <w:uiPriority w:val="14"/>
    <w:rsid w:val="00B56F21"/>
  </w:style>
  <w:style w:type="paragraph" w:styleId="Fecha">
    <w:name w:val="Date"/>
    <w:basedOn w:val="Normal"/>
    <w:next w:val="Normal"/>
    <w:link w:val="FechaCar"/>
    <w:uiPriority w:val="11"/>
    <w:qFormat/>
    <w:rsid w:val="00362C4A"/>
    <w:pPr>
      <w:spacing w:after="560"/>
    </w:pPr>
  </w:style>
  <w:style w:type="character" w:customStyle="1" w:styleId="FechaCar">
    <w:name w:val="Fecha Car"/>
    <w:basedOn w:val="Fuentedeprrafopredeter"/>
    <w:link w:val="Fecha"/>
    <w:uiPriority w:val="11"/>
    <w:rsid w:val="00362C4A"/>
  </w:style>
  <w:style w:type="paragraph" w:styleId="Puesto">
    <w:name w:val="Title"/>
    <w:basedOn w:val="Normal"/>
    <w:next w:val="Normal"/>
    <w:link w:val="PuestoCar"/>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PuestoCar">
    <w:name w:val="Puesto Car"/>
    <w:basedOn w:val="Fuentedeprrafopredeter"/>
    <w:link w:val="Puesto"/>
    <w:uiPriority w:val="10"/>
    <w:semiHidden/>
    <w:rsid w:val="00B56F21"/>
    <w:rPr>
      <w:rFonts w:asciiTheme="majorHAnsi" w:eastAsiaTheme="majorEastAsia" w:hAnsiTheme="majorHAnsi" w:cstheme="majorBidi"/>
      <w:color w:val="auto"/>
      <w:kern w:val="28"/>
      <w:sz w:val="56"/>
      <w:szCs w:val="56"/>
    </w:rPr>
  </w:style>
  <w:style w:type="paragraph" w:styleId="Subttulo">
    <w:name w:val="Subtitle"/>
    <w:basedOn w:val="Normal"/>
    <w:next w:val="Normal"/>
    <w:link w:val="SubttuloCar"/>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SubttuloCar">
    <w:name w:val="Subtítulo Car"/>
    <w:basedOn w:val="Fuentedeprrafopredeter"/>
    <w:link w:val="Subttulo"/>
    <w:uiPriority w:val="11"/>
    <w:semiHidden/>
    <w:rsid w:val="00B56F21"/>
    <w:rPr>
      <w:rFonts w:eastAsiaTheme="minorEastAsia"/>
      <w:color w:val="5A5A5A" w:themeColor="text1" w:themeTint="A5"/>
      <w:sz w:val="22"/>
      <w:szCs w:val="22"/>
    </w:rPr>
  </w:style>
  <w:style w:type="character" w:styleId="Nmerodepgina">
    <w:name w:val="page number"/>
    <w:basedOn w:val="Fuentedeprrafopredeter"/>
    <w:rsid w:val="00A90477"/>
  </w:style>
  <w:style w:type="table" w:styleId="Sombreadomedio1-nfasis2">
    <w:name w:val="Medium Shading 1 Accent 2"/>
    <w:basedOn w:val="Tablanormal"/>
    <w:uiPriority w:val="63"/>
    <w:rsid w:val="00A90477"/>
    <w:pPr>
      <w:spacing w:after="0" w:line="240" w:lineRule="auto"/>
    </w:pPr>
    <w:rPr>
      <w:rFonts w:eastAsiaTheme="minorEastAsia"/>
      <w:color w:val="auto"/>
      <w:sz w:val="22"/>
      <w:szCs w:val="22"/>
      <w:lang w:val="en-US" w:eastAsia="es-MX"/>
    </w:r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character" w:styleId="Hipervnculo">
    <w:name w:val="Hyperlink"/>
    <w:basedOn w:val="Fuentedeprrafopredeter"/>
    <w:uiPriority w:val="99"/>
    <w:unhideWhenUsed/>
    <w:rsid w:val="00F52169"/>
    <w:rPr>
      <w:color w:val="F7B615" w:themeColor="hyperlink"/>
      <w:u w:val="single"/>
    </w:rPr>
  </w:style>
  <w:style w:type="paragraph" w:styleId="Textoindependiente">
    <w:name w:val="Body Text"/>
    <w:basedOn w:val="Normal"/>
    <w:link w:val="TextoindependienteCar"/>
    <w:uiPriority w:val="99"/>
    <w:rsid w:val="00F52169"/>
    <w:pPr>
      <w:spacing w:after="0" w:line="240" w:lineRule="auto"/>
      <w:jc w:val="both"/>
    </w:pPr>
    <w:rPr>
      <w:rFonts w:ascii="Arial" w:eastAsia="Times New Roman" w:hAnsi="Arial" w:cs="Arial"/>
      <w:color w:val="auto"/>
      <w:sz w:val="24"/>
      <w:szCs w:val="24"/>
      <w:lang w:eastAsia="es-ES"/>
    </w:rPr>
  </w:style>
  <w:style w:type="character" w:customStyle="1" w:styleId="TextoindependienteCar">
    <w:name w:val="Texto independiente Car"/>
    <w:basedOn w:val="Fuentedeprrafopredeter"/>
    <w:link w:val="Textoindependiente"/>
    <w:uiPriority w:val="99"/>
    <w:rsid w:val="00F52169"/>
    <w:rPr>
      <w:rFonts w:ascii="Arial" w:eastAsia="Times New Roman" w:hAnsi="Arial" w:cs="Arial"/>
      <w:color w:val="auto"/>
      <w:sz w:val="24"/>
      <w:szCs w:val="24"/>
      <w:lang w:eastAsia="es-ES"/>
    </w:rPr>
  </w:style>
  <w:style w:type="character" w:styleId="Hipervnculovisitado">
    <w:name w:val="FollowedHyperlink"/>
    <w:basedOn w:val="Fuentedeprrafopredeter"/>
    <w:uiPriority w:val="99"/>
    <w:semiHidden/>
    <w:unhideWhenUsed/>
    <w:rsid w:val="00755151"/>
    <w:rPr>
      <w:color w:val="704404" w:themeColor="followedHyperlink"/>
      <w:u w:val="single"/>
    </w:rPr>
  </w:style>
  <w:style w:type="numbering" w:customStyle="1" w:styleId="Sinlista1">
    <w:name w:val="Sin lista1"/>
    <w:next w:val="Sinlista"/>
    <w:uiPriority w:val="99"/>
    <w:semiHidden/>
    <w:unhideWhenUsed/>
    <w:rsid w:val="00FC359F"/>
  </w:style>
  <w:style w:type="paragraph" w:styleId="Textoindependiente3">
    <w:name w:val="Body Text 3"/>
    <w:basedOn w:val="Normal"/>
    <w:link w:val="Textoindependiente3Car"/>
    <w:uiPriority w:val="99"/>
    <w:semiHidden/>
    <w:unhideWhenUsed/>
    <w:rsid w:val="00E7597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759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biblio.colsan.edu.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oredo\Downloads\tf16392719.dotx"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A2C58E-268A-4604-B427-295496C42207}" type="doc">
      <dgm:prSet loTypeId="urn:microsoft.com/office/officeart/2008/layout/BubblePictureList" loCatId="picture" qsTypeId="urn:microsoft.com/office/officeart/2005/8/quickstyle/3d4" qsCatId="3D" csTypeId="urn:microsoft.com/office/officeart/2005/8/colors/colorful2" csCatId="colorful" phldr="1"/>
      <dgm:spPr/>
      <dgm:t>
        <a:bodyPr/>
        <a:lstStyle/>
        <a:p>
          <a:endParaRPr lang="es-ES"/>
        </a:p>
      </dgm:t>
    </dgm:pt>
    <dgm:pt modelId="{07628A79-5D6E-449A-A47C-89C41D04136D}">
      <dgm:prSet phldrT="[Texto]"/>
      <dgm:spPr/>
      <dgm:t>
        <a:bodyPr/>
        <a:lstStyle/>
        <a:p>
          <a:endParaRPr lang="es-ES"/>
        </a:p>
      </dgm:t>
    </dgm:pt>
    <dgm:pt modelId="{088B4852-1BA6-44B1-B4D2-93F51EAD6FBB}" type="parTrans" cxnId="{242C6605-573D-475A-AE1F-438310B4927C}">
      <dgm:prSet/>
      <dgm:spPr/>
      <dgm:t>
        <a:bodyPr/>
        <a:lstStyle/>
        <a:p>
          <a:endParaRPr lang="es-ES"/>
        </a:p>
      </dgm:t>
    </dgm:pt>
    <dgm:pt modelId="{3CCE38B4-5431-476B-823D-6144E416BF2D}" type="sibTrans" cxnId="{242C6605-573D-475A-AE1F-438310B4927C}">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7000" r="-27000"/>
          </a:stretch>
        </a:blipFill>
      </dgm:spPr>
      <dgm:t>
        <a:bodyPr/>
        <a:lstStyle/>
        <a:p>
          <a:endParaRPr lang="es-ES"/>
        </a:p>
      </dgm:t>
    </dgm:pt>
    <dgm:pt modelId="{058BA034-E9CE-49D0-A89F-2DB554E83F44}">
      <dgm:prSet phldrT="[Texto]"/>
      <dgm:spPr/>
      <dgm:t>
        <a:bodyPr/>
        <a:lstStyle/>
        <a:p>
          <a:endParaRPr lang="es-ES"/>
        </a:p>
      </dgm:t>
    </dgm:pt>
    <dgm:pt modelId="{0E4C53D2-5034-4334-8091-2DA5077A3382}" type="sibTrans" cxnId="{FA94EA4C-05A7-43FC-A965-D49E2DDA0F3F}">
      <dgm:prSet/>
      <dgm:spPr>
        <a:blipFill>
          <a:blip xmlns:r="http://schemas.openxmlformats.org/officeDocument/2006/relationships" r:embed="rId2">
            <a:extLst>
              <a:ext uri="{28A0092B-C50C-407E-A947-70E740481C1C}">
                <a14:useLocalDpi xmlns:a14="http://schemas.microsoft.com/office/drawing/2010/main" val="0"/>
              </a:ext>
            </a:extLst>
          </a:blip>
          <a:srcRect/>
          <a:stretch>
            <a:fillRect l="-19000" r="-19000"/>
          </a:stretch>
        </a:blipFill>
      </dgm:spPr>
      <dgm:t>
        <a:bodyPr/>
        <a:lstStyle/>
        <a:p>
          <a:endParaRPr lang="es-ES"/>
        </a:p>
      </dgm:t>
    </dgm:pt>
    <dgm:pt modelId="{36363F26-A766-4EFD-8703-6A7E6144909F}" type="parTrans" cxnId="{FA94EA4C-05A7-43FC-A965-D49E2DDA0F3F}">
      <dgm:prSet/>
      <dgm:spPr/>
      <dgm:t>
        <a:bodyPr/>
        <a:lstStyle/>
        <a:p>
          <a:endParaRPr lang="es-ES"/>
        </a:p>
      </dgm:t>
    </dgm:pt>
    <dgm:pt modelId="{EA0155D8-6891-455A-A0AD-FD0CBACD19F5}">
      <dgm:prSet phldrT="[Texto]"/>
      <dgm:spPr/>
      <dgm:t>
        <a:bodyPr/>
        <a:lstStyle/>
        <a:p>
          <a:endParaRPr lang="es-ES"/>
        </a:p>
      </dgm:t>
    </dgm:pt>
    <dgm:pt modelId="{A49AD452-517F-4DC7-8CB8-5421D3586050}" type="sibTrans" cxnId="{D9EAA338-09CA-460E-90B9-CE429F1B353B}">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65000" r="-65000"/>
          </a:stretch>
        </a:blipFill>
      </dgm:spPr>
      <dgm:t>
        <a:bodyPr/>
        <a:lstStyle/>
        <a:p>
          <a:endParaRPr lang="es-ES"/>
        </a:p>
      </dgm:t>
    </dgm:pt>
    <dgm:pt modelId="{6A929067-79FB-437D-8474-0975B8654307}" type="parTrans" cxnId="{D9EAA338-09CA-460E-90B9-CE429F1B353B}">
      <dgm:prSet/>
      <dgm:spPr/>
      <dgm:t>
        <a:bodyPr/>
        <a:lstStyle/>
        <a:p>
          <a:endParaRPr lang="es-ES"/>
        </a:p>
      </dgm:t>
    </dgm:pt>
    <dgm:pt modelId="{47F6C09E-DA6C-4C55-A51B-F342104E2D6B}" type="pres">
      <dgm:prSet presAssocID="{B0A2C58E-268A-4604-B427-295496C42207}" presName="Name0" presStyleCnt="0">
        <dgm:presLayoutVars>
          <dgm:chMax val="8"/>
          <dgm:chPref val="8"/>
          <dgm:dir/>
        </dgm:presLayoutVars>
      </dgm:prSet>
      <dgm:spPr/>
      <dgm:t>
        <a:bodyPr/>
        <a:lstStyle/>
        <a:p>
          <a:endParaRPr lang="es-ES"/>
        </a:p>
      </dgm:t>
    </dgm:pt>
    <dgm:pt modelId="{237092DA-FBCC-4031-91A0-E39A122EEEFA}" type="pres">
      <dgm:prSet presAssocID="{07628A79-5D6E-449A-A47C-89C41D04136D}" presName="parent_text_1" presStyleLbl="revTx" presStyleIdx="0" presStyleCnt="3">
        <dgm:presLayoutVars>
          <dgm:chMax val="0"/>
          <dgm:chPref val="0"/>
          <dgm:bulletEnabled val="1"/>
        </dgm:presLayoutVars>
      </dgm:prSet>
      <dgm:spPr/>
      <dgm:t>
        <a:bodyPr/>
        <a:lstStyle/>
        <a:p>
          <a:endParaRPr lang="es-ES"/>
        </a:p>
      </dgm:t>
    </dgm:pt>
    <dgm:pt modelId="{BF512B69-F712-4CC7-8459-6297490B41C8}" type="pres">
      <dgm:prSet presAssocID="{07628A79-5D6E-449A-A47C-89C41D04136D}" presName="image_accent_1" presStyleCnt="0"/>
      <dgm:spPr/>
    </dgm:pt>
    <dgm:pt modelId="{EE1FDE5D-1EA4-4211-B307-B3D0E8EFDD17}" type="pres">
      <dgm:prSet presAssocID="{07628A79-5D6E-449A-A47C-89C41D04136D}" presName="imageAccentRepeatNode" presStyleLbl="alignNode1" presStyleIdx="0" presStyleCnt="6"/>
      <dgm:spPr/>
    </dgm:pt>
    <dgm:pt modelId="{56914987-54D7-416A-B393-70A34633719C}" type="pres">
      <dgm:prSet presAssocID="{07628A79-5D6E-449A-A47C-89C41D04136D}" presName="accent_1" presStyleLbl="alignNode1" presStyleIdx="1" presStyleCnt="6"/>
      <dgm:spPr/>
    </dgm:pt>
    <dgm:pt modelId="{BF15B4D5-6CCB-44AA-B408-268A73A366D1}" type="pres">
      <dgm:prSet presAssocID="{3CCE38B4-5431-476B-823D-6144E416BF2D}" presName="image_1" presStyleCnt="0"/>
      <dgm:spPr/>
    </dgm:pt>
    <dgm:pt modelId="{988DB939-AD4F-4F7F-AE2F-49D7226D1B65}" type="pres">
      <dgm:prSet presAssocID="{3CCE38B4-5431-476B-823D-6144E416BF2D}" presName="imageRepeatNode" presStyleLbl="fgImgPlace1" presStyleIdx="0" presStyleCnt="3"/>
      <dgm:spPr/>
      <dgm:t>
        <a:bodyPr/>
        <a:lstStyle/>
        <a:p>
          <a:endParaRPr lang="es-ES"/>
        </a:p>
      </dgm:t>
    </dgm:pt>
    <dgm:pt modelId="{3D498B47-3926-4FAB-81DE-40FB425DE366}" type="pres">
      <dgm:prSet presAssocID="{058BA034-E9CE-49D0-A89F-2DB554E83F44}" presName="parent_text_2" presStyleLbl="revTx" presStyleIdx="1" presStyleCnt="3">
        <dgm:presLayoutVars>
          <dgm:chMax val="0"/>
          <dgm:chPref val="0"/>
          <dgm:bulletEnabled val="1"/>
        </dgm:presLayoutVars>
      </dgm:prSet>
      <dgm:spPr/>
      <dgm:t>
        <a:bodyPr/>
        <a:lstStyle/>
        <a:p>
          <a:endParaRPr lang="es-ES"/>
        </a:p>
      </dgm:t>
    </dgm:pt>
    <dgm:pt modelId="{32B2E446-4401-47F1-A68C-1F38DF9B64C3}" type="pres">
      <dgm:prSet presAssocID="{058BA034-E9CE-49D0-A89F-2DB554E83F44}" presName="image_accent_2" presStyleCnt="0"/>
      <dgm:spPr/>
    </dgm:pt>
    <dgm:pt modelId="{60271C9B-F07C-4842-8DFA-C1FFA1E2CC7F}" type="pres">
      <dgm:prSet presAssocID="{058BA034-E9CE-49D0-A89F-2DB554E83F44}" presName="imageAccentRepeatNode" presStyleLbl="alignNode1" presStyleIdx="2" presStyleCnt="6"/>
      <dgm:spPr/>
    </dgm:pt>
    <dgm:pt modelId="{F405392D-DF7F-4646-A625-D321FAC34123}" type="pres">
      <dgm:prSet presAssocID="{0E4C53D2-5034-4334-8091-2DA5077A3382}" presName="image_2" presStyleCnt="0"/>
      <dgm:spPr/>
    </dgm:pt>
    <dgm:pt modelId="{E0F52B31-9110-4731-821F-67ABBDD03439}" type="pres">
      <dgm:prSet presAssocID="{0E4C53D2-5034-4334-8091-2DA5077A3382}" presName="imageRepeatNode" presStyleLbl="fgImgPlace1" presStyleIdx="1" presStyleCnt="3"/>
      <dgm:spPr/>
      <dgm:t>
        <a:bodyPr/>
        <a:lstStyle/>
        <a:p>
          <a:endParaRPr lang="es-ES"/>
        </a:p>
      </dgm:t>
    </dgm:pt>
    <dgm:pt modelId="{8618D00E-C23C-4C39-B852-48346079F106}" type="pres">
      <dgm:prSet presAssocID="{EA0155D8-6891-455A-A0AD-FD0CBACD19F5}" presName="image_accent_3" presStyleCnt="0"/>
      <dgm:spPr/>
    </dgm:pt>
    <dgm:pt modelId="{A0033DAF-2CD7-427C-B377-11755062FAF0}" type="pres">
      <dgm:prSet presAssocID="{EA0155D8-6891-455A-A0AD-FD0CBACD19F5}" presName="imageAccentRepeatNode" presStyleLbl="alignNode1" presStyleIdx="3" presStyleCnt="6"/>
      <dgm:spPr/>
    </dgm:pt>
    <dgm:pt modelId="{68826600-8282-4B47-9598-9CEC17C244FF}" type="pres">
      <dgm:prSet presAssocID="{EA0155D8-6891-455A-A0AD-FD0CBACD19F5}" presName="parent_text_3" presStyleLbl="revTx" presStyleIdx="2" presStyleCnt="3">
        <dgm:presLayoutVars>
          <dgm:chMax val="0"/>
          <dgm:chPref val="0"/>
          <dgm:bulletEnabled val="1"/>
        </dgm:presLayoutVars>
      </dgm:prSet>
      <dgm:spPr/>
      <dgm:t>
        <a:bodyPr/>
        <a:lstStyle/>
        <a:p>
          <a:endParaRPr lang="es-ES"/>
        </a:p>
      </dgm:t>
    </dgm:pt>
    <dgm:pt modelId="{AF6B7E36-14CB-4527-867C-F05590E6D427}" type="pres">
      <dgm:prSet presAssocID="{EA0155D8-6891-455A-A0AD-FD0CBACD19F5}" presName="accent_2" presStyleLbl="alignNode1" presStyleIdx="4" presStyleCnt="6"/>
      <dgm:spPr/>
    </dgm:pt>
    <dgm:pt modelId="{319818C1-B424-4C56-8B7F-AA603366F56F}" type="pres">
      <dgm:prSet presAssocID="{EA0155D8-6891-455A-A0AD-FD0CBACD19F5}" presName="accent_3" presStyleLbl="alignNode1" presStyleIdx="5" presStyleCnt="6"/>
      <dgm:spPr/>
    </dgm:pt>
    <dgm:pt modelId="{4C938AC3-0108-441F-9BA3-6125CD404BE2}" type="pres">
      <dgm:prSet presAssocID="{A49AD452-517F-4DC7-8CB8-5421D3586050}" presName="image_3" presStyleCnt="0"/>
      <dgm:spPr/>
    </dgm:pt>
    <dgm:pt modelId="{DBB6AD61-59EB-4DCD-BAE4-16D6497A1707}" type="pres">
      <dgm:prSet presAssocID="{A49AD452-517F-4DC7-8CB8-5421D3586050}" presName="imageRepeatNode" presStyleLbl="fgImgPlace1" presStyleIdx="2" presStyleCnt="3"/>
      <dgm:spPr/>
      <dgm:t>
        <a:bodyPr/>
        <a:lstStyle/>
        <a:p>
          <a:endParaRPr lang="es-ES"/>
        </a:p>
      </dgm:t>
    </dgm:pt>
  </dgm:ptLst>
  <dgm:cxnLst>
    <dgm:cxn modelId="{FA94EA4C-05A7-43FC-A965-D49E2DDA0F3F}" srcId="{B0A2C58E-268A-4604-B427-295496C42207}" destId="{058BA034-E9CE-49D0-A89F-2DB554E83F44}" srcOrd="1" destOrd="0" parTransId="{36363F26-A766-4EFD-8703-6A7E6144909F}" sibTransId="{0E4C53D2-5034-4334-8091-2DA5077A3382}"/>
    <dgm:cxn modelId="{D9EAA338-09CA-460E-90B9-CE429F1B353B}" srcId="{B0A2C58E-268A-4604-B427-295496C42207}" destId="{EA0155D8-6891-455A-A0AD-FD0CBACD19F5}" srcOrd="2" destOrd="0" parTransId="{6A929067-79FB-437D-8474-0975B8654307}" sibTransId="{A49AD452-517F-4DC7-8CB8-5421D3586050}"/>
    <dgm:cxn modelId="{24C485F5-8BE4-406B-878A-02789E3AC22D}" type="presOf" srcId="{EA0155D8-6891-455A-A0AD-FD0CBACD19F5}" destId="{68826600-8282-4B47-9598-9CEC17C244FF}" srcOrd="0" destOrd="0" presId="urn:microsoft.com/office/officeart/2008/layout/BubblePictureList"/>
    <dgm:cxn modelId="{0C92485A-2830-4728-B3F1-6C1E2F11FA74}" type="presOf" srcId="{058BA034-E9CE-49D0-A89F-2DB554E83F44}" destId="{3D498B47-3926-4FAB-81DE-40FB425DE366}" srcOrd="0" destOrd="0" presId="urn:microsoft.com/office/officeart/2008/layout/BubblePictureList"/>
    <dgm:cxn modelId="{0B017897-B051-4180-9BC2-A6F9EC13A671}" type="presOf" srcId="{3CCE38B4-5431-476B-823D-6144E416BF2D}" destId="{988DB939-AD4F-4F7F-AE2F-49D7226D1B65}" srcOrd="0" destOrd="0" presId="urn:microsoft.com/office/officeart/2008/layout/BubblePictureList"/>
    <dgm:cxn modelId="{242C6605-573D-475A-AE1F-438310B4927C}" srcId="{B0A2C58E-268A-4604-B427-295496C42207}" destId="{07628A79-5D6E-449A-A47C-89C41D04136D}" srcOrd="0" destOrd="0" parTransId="{088B4852-1BA6-44B1-B4D2-93F51EAD6FBB}" sibTransId="{3CCE38B4-5431-476B-823D-6144E416BF2D}"/>
    <dgm:cxn modelId="{96D636DD-96FA-430E-ADEF-D7BF9E60FFAF}" type="presOf" srcId="{B0A2C58E-268A-4604-B427-295496C42207}" destId="{47F6C09E-DA6C-4C55-A51B-F342104E2D6B}" srcOrd="0" destOrd="0" presId="urn:microsoft.com/office/officeart/2008/layout/BubblePictureList"/>
    <dgm:cxn modelId="{28F3A20D-AD55-4752-99C1-984F48A6E397}" type="presOf" srcId="{A49AD452-517F-4DC7-8CB8-5421D3586050}" destId="{DBB6AD61-59EB-4DCD-BAE4-16D6497A1707}" srcOrd="0" destOrd="0" presId="urn:microsoft.com/office/officeart/2008/layout/BubblePictureList"/>
    <dgm:cxn modelId="{5F28F8F5-071B-4D79-A5DA-02E887DC99C8}" type="presOf" srcId="{07628A79-5D6E-449A-A47C-89C41D04136D}" destId="{237092DA-FBCC-4031-91A0-E39A122EEEFA}" srcOrd="0" destOrd="0" presId="urn:microsoft.com/office/officeart/2008/layout/BubblePictureList"/>
    <dgm:cxn modelId="{4EF1FEF6-7662-43D4-B828-BE06DA1D0022}" type="presOf" srcId="{0E4C53D2-5034-4334-8091-2DA5077A3382}" destId="{E0F52B31-9110-4731-821F-67ABBDD03439}" srcOrd="0" destOrd="0" presId="urn:microsoft.com/office/officeart/2008/layout/BubblePictureList"/>
    <dgm:cxn modelId="{53FD2045-DB2B-4D0D-8361-322305FA2A48}" type="presParOf" srcId="{47F6C09E-DA6C-4C55-A51B-F342104E2D6B}" destId="{237092DA-FBCC-4031-91A0-E39A122EEEFA}" srcOrd="0" destOrd="0" presId="urn:microsoft.com/office/officeart/2008/layout/BubblePictureList"/>
    <dgm:cxn modelId="{2FC8EFB1-5E5A-4F8A-B670-622C641B6A4F}" type="presParOf" srcId="{47F6C09E-DA6C-4C55-A51B-F342104E2D6B}" destId="{BF512B69-F712-4CC7-8459-6297490B41C8}" srcOrd="1" destOrd="0" presId="urn:microsoft.com/office/officeart/2008/layout/BubblePictureList"/>
    <dgm:cxn modelId="{BEAF2B99-8666-428D-B571-F638785BACEA}" type="presParOf" srcId="{BF512B69-F712-4CC7-8459-6297490B41C8}" destId="{EE1FDE5D-1EA4-4211-B307-B3D0E8EFDD17}" srcOrd="0" destOrd="0" presId="urn:microsoft.com/office/officeart/2008/layout/BubblePictureList"/>
    <dgm:cxn modelId="{4A3C9464-F3C4-4658-8A85-C19B9E7C571F}" type="presParOf" srcId="{47F6C09E-DA6C-4C55-A51B-F342104E2D6B}" destId="{56914987-54D7-416A-B393-70A34633719C}" srcOrd="2" destOrd="0" presId="urn:microsoft.com/office/officeart/2008/layout/BubblePictureList"/>
    <dgm:cxn modelId="{47F0741A-DF53-476F-A584-85A6451703F5}" type="presParOf" srcId="{47F6C09E-DA6C-4C55-A51B-F342104E2D6B}" destId="{BF15B4D5-6CCB-44AA-B408-268A73A366D1}" srcOrd="3" destOrd="0" presId="urn:microsoft.com/office/officeart/2008/layout/BubblePictureList"/>
    <dgm:cxn modelId="{7CE3CB61-C371-4B43-B2CD-1F80779F64DE}" type="presParOf" srcId="{BF15B4D5-6CCB-44AA-B408-268A73A366D1}" destId="{988DB939-AD4F-4F7F-AE2F-49D7226D1B65}" srcOrd="0" destOrd="0" presId="urn:microsoft.com/office/officeart/2008/layout/BubblePictureList"/>
    <dgm:cxn modelId="{B54A81F6-E01A-4C6B-A6D8-472930D99186}" type="presParOf" srcId="{47F6C09E-DA6C-4C55-A51B-F342104E2D6B}" destId="{3D498B47-3926-4FAB-81DE-40FB425DE366}" srcOrd="4" destOrd="0" presId="urn:microsoft.com/office/officeart/2008/layout/BubblePictureList"/>
    <dgm:cxn modelId="{9E7D2E77-40E7-4C14-B325-8C308FE96229}" type="presParOf" srcId="{47F6C09E-DA6C-4C55-A51B-F342104E2D6B}" destId="{32B2E446-4401-47F1-A68C-1F38DF9B64C3}" srcOrd="5" destOrd="0" presId="urn:microsoft.com/office/officeart/2008/layout/BubblePictureList"/>
    <dgm:cxn modelId="{A299DDCB-7193-409E-99A9-4E97F2F0FD7C}" type="presParOf" srcId="{32B2E446-4401-47F1-A68C-1F38DF9B64C3}" destId="{60271C9B-F07C-4842-8DFA-C1FFA1E2CC7F}" srcOrd="0" destOrd="0" presId="urn:microsoft.com/office/officeart/2008/layout/BubblePictureList"/>
    <dgm:cxn modelId="{F4B41DEE-2076-4A4F-90EB-D7BB9EC9ABC9}" type="presParOf" srcId="{47F6C09E-DA6C-4C55-A51B-F342104E2D6B}" destId="{F405392D-DF7F-4646-A625-D321FAC34123}" srcOrd="6" destOrd="0" presId="urn:microsoft.com/office/officeart/2008/layout/BubblePictureList"/>
    <dgm:cxn modelId="{E9F2A76A-906B-4875-B596-6C8B173CD4F3}" type="presParOf" srcId="{F405392D-DF7F-4646-A625-D321FAC34123}" destId="{E0F52B31-9110-4731-821F-67ABBDD03439}" srcOrd="0" destOrd="0" presId="urn:microsoft.com/office/officeart/2008/layout/BubblePictureList"/>
    <dgm:cxn modelId="{C39F375E-1DFF-4BBD-90A2-B53DD506A442}" type="presParOf" srcId="{47F6C09E-DA6C-4C55-A51B-F342104E2D6B}" destId="{8618D00E-C23C-4C39-B852-48346079F106}" srcOrd="7" destOrd="0" presId="urn:microsoft.com/office/officeart/2008/layout/BubblePictureList"/>
    <dgm:cxn modelId="{980B23D7-296A-454E-951D-ABB55E1C9D74}" type="presParOf" srcId="{8618D00E-C23C-4C39-B852-48346079F106}" destId="{A0033DAF-2CD7-427C-B377-11755062FAF0}" srcOrd="0" destOrd="0" presId="urn:microsoft.com/office/officeart/2008/layout/BubblePictureList"/>
    <dgm:cxn modelId="{3CF08BEE-0DA9-446C-945F-2D065499D726}" type="presParOf" srcId="{47F6C09E-DA6C-4C55-A51B-F342104E2D6B}" destId="{68826600-8282-4B47-9598-9CEC17C244FF}" srcOrd="8" destOrd="0" presId="urn:microsoft.com/office/officeart/2008/layout/BubblePictureList"/>
    <dgm:cxn modelId="{9E5CE5EC-95F1-42C5-8523-14EF20F44A37}" type="presParOf" srcId="{47F6C09E-DA6C-4C55-A51B-F342104E2D6B}" destId="{AF6B7E36-14CB-4527-867C-F05590E6D427}" srcOrd="9" destOrd="0" presId="urn:microsoft.com/office/officeart/2008/layout/BubblePictureList"/>
    <dgm:cxn modelId="{BE31BA5E-A699-4202-8F5B-B7FC0F548AC2}" type="presParOf" srcId="{47F6C09E-DA6C-4C55-A51B-F342104E2D6B}" destId="{319818C1-B424-4C56-8B7F-AA603366F56F}" srcOrd="10" destOrd="0" presId="urn:microsoft.com/office/officeart/2008/layout/BubblePictureList"/>
    <dgm:cxn modelId="{D090DE60-64C1-4FD2-BF32-EDDECD5C852B}" type="presParOf" srcId="{47F6C09E-DA6C-4C55-A51B-F342104E2D6B}" destId="{4C938AC3-0108-441F-9BA3-6125CD404BE2}" srcOrd="11" destOrd="0" presId="urn:microsoft.com/office/officeart/2008/layout/BubblePictureList"/>
    <dgm:cxn modelId="{D57C4762-489F-4B70-8205-E2EF603BC69A}" type="presParOf" srcId="{4C938AC3-0108-441F-9BA3-6125CD404BE2}" destId="{DBB6AD61-59EB-4DCD-BAE4-16D6497A1707}" srcOrd="0" destOrd="0" presId="urn:microsoft.com/office/officeart/2008/layout/BubblePicture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1FDE5D-1EA4-4211-B307-B3D0E8EFDD17}">
      <dsp:nvSpPr>
        <dsp:cNvPr id="0" name=""/>
        <dsp:cNvSpPr/>
      </dsp:nvSpPr>
      <dsp:spPr>
        <a:xfrm>
          <a:off x="679598" y="659089"/>
          <a:ext cx="687060" cy="687174"/>
        </a:xfrm>
        <a:prstGeom prst="ellipse">
          <a:avLst/>
        </a:prstGeom>
        <a:solidFill>
          <a:schemeClr val="accent2">
            <a:hueOff val="0"/>
            <a:satOff val="0"/>
            <a:lumOff val="0"/>
            <a:alphaOff val="0"/>
          </a:schemeClr>
        </a:solidFill>
        <a:ln w="6350" cap="flat" cmpd="sng" algn="ctr">
          <a:solidFill>
            <a:schemeClr val="accent2">
              <a:hueOff val="0"/>
              <a:satOff val="0"/>
              <a:lumOff val="0"/>
              <a:alphaOff val="0"/>
            </a:scheme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56914987-54D7-416A-B393-70A34633719C}">
      <dsp:nvSpPr>
        <dsp:cNvPr id="0" name=""/>
        <dsp:cNvSpPr/>
      </dsp:nvSpPr>
      <dsp:spPr>
        <a:xfrm>
          <a:off x="1117836" y="153045"/>
          <a:ext cx="204051" cy="203920"/>
        </a:xfrm>
        <a:prstGeom prst="donut">
          <a:avLst>
            <a:gd name="adj" fmla="val 7460"/>
          </a:avLst>
        </a:prstGeom>
        <a:solidFill>
          <a:schemeClr val="accent2">
            <a:hueOff val="549268"/>
            <a:satOff val="-9762"/>
            <a:lumOff val="314"/>
            <a:alphaOff val="0"/>
          </a:schemeClr>
        </a:solidFill>
        <a:ln w="6350" cap="flat" cmpd="sng" algn="ctr">
          <a:solidFill>
            <a:schemeClr val="accent2">
              <a:hueOff val="549268"/>
              <a:satOff val="-9762"/>
              <a:lumOff val="314"/>
              <a:alphaOff val="0"/>
            </a:scheme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88DB939-AD4F-4F7F-AE2F-49D7226D1B65}">
      <dsp:nvSpPr>
        <dsp:cNvPr id="0" name=""/>
        <dsp:cNvSpPr/>
      </dsp:nvSpPr>
      <dsp:spPr>
        <a:xfrm>
          <a:off x="706002" y="685459"/>
          <a:ext cx="634541" cy="634434"/>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7000" r="-27000"/>
          </a:stretch>
        </a:blipFill>
        <a:ln>
          <a:noFill/>
        </a:ln>
        <a:effectLst/>
        <a:scene3d>
          <a:camera prst="orthographicFront"/>
          <a:lightRig rig="chilly" dir="t"/>
        </a:scene3d>
        <a:sp3d z="12700" extrusionH="12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60271C9B-F07C-4842-8DFA-C1FFA1E2CC7F}">
      <dsp:nvSpPr>
        <dsp:cNvPr id="0" name=""/>
        <dsp:cNvSpPr/>
      </dsp:nvSpPr>
      <dsp:spPr>
        <a:xfrm>
          <a:off x="1416596" y="788911"/>
          <a:ext cx="359601" cy="359516"/>
        </a:xfrm>
        <a:prstGeom prst="ellipse">
          <a:avLst/>
        </a:prstGeom>
        <a:solidFill>
          <a:schemeClr val="accent2">
            <a:hueOff val="1098536"/>
            <a:satOff val="-19523"/>
            <a:lumOff val="628"/>
            <a:alphaOff val="0"/>
          </a:schemeClr>
        </a:solidFill>
        <a:ln w="6350" cap="flat" cmpd="sng" algn="ctr">
          <a:solidFill>
            <a:schemeClr val="accent2">
              <a:hueOff val="1098536"/>
              <a:satOff val="-19523"/>
              <a:lumOff val="628"/>
              <a:alphaOff val="0"/>
            </a:scheme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E0F52B31-9110-4731-821F-67ABBDD03439}">
      <dsp:nvSpPr>
        <dsp:cNvPr id="0" name=""/>
        <dsp:cNvSpPr/>
      </dsp:nvSpPr>
      <dsp:spPr>
        <a:xfrm>
          <a:off x="1437833" y="810150"/>
          <a:ext cx="317127" cy="317157"/>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19000" r="-19000"/>
          </a:stretch>
        </a:blipFill>
        <a:ln>
          <a:noFill/>
        </a:ln>
        <a:effectLst/>
        <a:scene3d>
          <a:camera prst="orthographicFront"/>
          <a:lightRig rig="chilly" dir="t"/>
        </a:scene3d>
        <a:sp3d z="12700" extrusionH="12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A0033DAF-2CD7-427C-B377-11755062FAF0}">
      <dsp:nvSpPr>
        <dsp:cNvPr id="0" name=""/>
        <dsp:cNvSpPr/>
      </dsp:nvSpPr>
      <dsp:spPr>
        <a:xfrm>
          <a:off x="1275969" y="281435"/>
          <a:ext cx="460910" cy="461059"/>
        </a:xfrm>
        <a:prstGeom prst="ellipse">
          <a:avLst/>
        </a:prstGeom>
        <a:solidFill>
          <a:schemeClr val="accent2">
            <a:hueOff val="1647804"/>
            <a:satOff val="-29285"/>
            <a:lumOff val="941"/>
            <a:alphaOff val="0"/>
          </a:schemeClr>
        </a:solidFill>
        <a:ln w="6350" cap="flat" cmpd="sng" algn="ctr">
          <a:solidFill>
            <a:schemeClr val="accent2">
              <a:hueOff val="1647804"/>
              <a:satOff val="-29285"/>
              <a:lumOff val="941"/>
              <a:alphaOff val="0"/>
            </a:scheme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AF6B7E36-14CB-4527-867C-F05590E6D427}">
      <dsp:nvSpPr>
        <dsp:cNvPr id="0" name=""/>
        <dsp:cNvSpPr/>
      </dsp:nvSpPr>
      <dsp:spPr>
        <a:xfrm>
          <a:off x="1661401" y="168199"/>
          <a:ext cx="150958" cy="151061"/>
        </a:xfrm>
        <a:prstGeom prst="donut">
          <a:avLst>
            <a:gd name="adj" fmla="val 7460"/>
          </a:avLst>
        </a:prstGeom>
        <a:solidFill>
          <a:schemeClr val="accent2">
            <a:hueOff val="2197072"/>
            <a:satOff val="-39046"/>
            <a:lumOff val="1255"/>
            <a:alphaOff val="0"/>
          </a:schemeClr>
        </a:solidFill>
        <a:ln w="6350" cap="flat" cmpd="sng" algn="ctr">
          <a:solidFill>
            <a:schemeClr val="accent2">
              <a:hueOff val="2197072"/>
              <a:satOff val="-39046"/>
              <a:lumOff val="1255"/>
              <a:alphaOff val="0"/>
            </a:scheme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319818C1-B424-4C56-8B7F-AA603366F56F}">
      <dsp:nvSpPr>
        <dsp:cNvPr id="0" name=""/>
        <dsp:cNvSpPr/>
      </dsp:nvSpPr>
      <dsp:spPr>
        <a:xfrm>
          <a:off x="1812646" y="1149979"/>
          <a:ext cx="113362" cy="113236"/>
        </a:xfrm>
        <a:prstGeom prst="donut">
          <a:avLst>
            <a:gd name="adj" fmla="val 7460"/>
          </a:avLst>
        </a:prstGeom>
        <a:solidFill>
          <a:schemeClr val="accent2">
            <a:hueOff val="2746340"/>
            <a:satOff val="-48808"/>
            <a:lumOff val="1569"/>
            <a:alphaOff val="0"/>
          </a:schemeClr>
        </a:solidFill>
        <a:ln w="6350" cap="flat" cmpd="sng" algn="ctr">
          <a:solidFill>
            <a:schemeClr val="accent2">
              <a:hueOff val="2746340"/>
              <a:satOff val="-48808"/>
              <a:lumOff val="1569"/>
              <a:alphaOff val="0"/>
            </a:scheme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DBB6AD61-59EB-4DCD-BAE4-16D6497A1707}">
      <dsp:nvSpPr>
        <dsp:cNvPr id="0" name=""/>
        <dsp:cNvSpPr/>
      </dsp:nvSpPr>
      <dsp:spPr>
        <a:xfrm>
          <a:off x="1300364" y="305777"/>
          <a:ext cx="412408" cy="412376"/>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65000" r="-65000"/>
          </a:stretch>
        </a:blipFill>
        <a:ln>
          <a:noFill/>
        </a:ln>
        <a:effectLst/>
        <a:scene3d>
          <a:camera prst="orthographicFront"/>
          <a:lightRig rig="chilly" dir="t"/>
        </a:scene3d>
        <a:sp3d z="12700" extrusionH="12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237092DA-FBCC-4031-91A0-E39A122EEEFA}">
      <dsp:nvSpPr>
        <dsp:cNvPr id="0" name=""/>
        <dsp:cNvSpPr/>
      </dsp:nvSpPr>
      <dsp:spPr>
        <a:xfrm>
          <a:off x="0" y="305777"/>
          <a:ext cx="1019685" cy="3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 numCol="1" spcCol="1270" anchor="b" anchorCtr="0">
          <a:noAutofit/>
        </a:bodyPr>
        <a:lstStyle/>
        <a:p>
          <a:pPr lvl="0" algn="r" defTabSz="933450">
            <a:lnSpc>
              <a:spcPct val="90000"/>
            </a:lnSpc>
            <a:spcBef>
              <a:spcPct val="0"/>
            </a:spcBef>
            <a:spcAft>
              <a:spcPct val="35000"/>
            </a:spcAft>
          </a:pPr>
          <a:endParaRPr lang="es-ES" sz="2100" kern="1200"/>
        </a:p>
      </dsp:txBody>
      <dsp:txXfrm>
        <a:off x="0" y="305777"/>
        <a:ext cx="1019685" cy="331118"/>
      </dsp:txXfrm>
    </dsp:sp>
    <dsp:sp modelId="{3D498B47-3926-4FAB-81DE-40FB425DE366}">
      <dsp:nvSpPr>
        <dsp:cNvPr id="0" name=""/>
        <dsp:cNvSpPr/>
      </dsp:nvSpPr>
      <dsp:spPr>
        <a:xfrm>
          <a:off x="1850242" y="810150"/>
          <a:ext cx="1019685" cy="317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l" defTabSz="844550">
            <a:lnSpc>
              <a:spcPct val="90000"/>
            </a:lnSpc>
            <a:spcBef>
              <a:spcPct val="0"/>
            </a:spcBef>
            <a:spcAft>
              <a:spcPct val="35000"/>
            </a:spcAft>
          </a:pPr>
          <a:endParaRPr lang="es-ES" sz="1900" kern="1200"/>
        </a:p>
      </dsp:txBody>
      <dsp:txXfrm>
        <a:off x="1850242" y="810150"/>
        <a:ext cx="1019685" cy="317157"/>
      </dsp:txXfrm>
    </dsp:sp>
    <dsp:sp modelId="{68826600-8282-4B47-9598-9CEC17C244FF}">
      <dsp:nvSpPr>
        <dsp:cNvPr id="0" name=""/>
        <dsp:cNvSpPr/>
      </dsp:nvSpPr>
      <dsp:spPr>
        <a:xfrm>
          <a:off x="1812646" y="305777"/>
          <a:ext cx="1019685" cy="4123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1066800">
            <a:lnSpc>
              <a:spcPct val="90000"/>
            </a:lnSpc>
            <a:spcBef>
              <a:spcPct val="0"/>
            </a:spcBef>
            <a:spcAft>
              <a:spcPct val="35000"/>
            </a:spcAft>
          </a:pPr>
          <a:endParaRPr lang="es-ES" sz="2400" kern="1200"/>
        </a:p>
      </dsp:txBody>
      <dsp:txXfrm>
        <a:off x="1812646" y="305777"/>
        <a:ext cx="1019685" cy="412376"/>
      </dsp:txXfrm>
    </dsp:sp>
  </dsp:spTree>
</dsp:drawing>
</file>

<file path=word/diagrams/layout1.xml><?xml version="1.0" encoding="utf-8"?>
<dgm:layoutDef xmlns:dgm="http://schemas.openxmlformats.org/drawingml/2006/diagram" xmlns:a="http://schemas.openxmlformats.org/drawingml/2006/main" uniqueId="urn:microsoft.com/office/officeart/2008/layout/BubblePictureList">
  <dgm:title val=""/>
  <dgm:desc val=""/>
  <dgm:catLst>
    <dgm:cat type="picture" pri="22000"/>
    <dgm:cat type="pictureconvert" pri="22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8"/>
      <dgm:chPref val="8"/>
      <dgm:dir/>
    </dgm:varLst>
    <dgm:shape xmlns:r="http://schemas.openxmlformats.org/officeDocument/2006/relationships" r:blip="">
      <dgm:adjLst/>
    </dgm:shape>
    <dgm:choose name="Name1">
      <dgm:if name="Name2" axis="ch" ptType="node" func="cnt" op="equ" val="1">
        <dgm:alg type="composite">
          <dgm:param type="ar" val="1.7423"/>
        </dgm:alg>
        <dgm:choose name="Name3">
          <dgm:if name="Name4" func="var" arg="dir" op="equ" val="norm">
            <dgm:constrLst>
              <dgm:constr type="primFontSz" for="des" ptType="node" op="equ" val="65"/>
              <dgm:constr type="l" for="ch" forName="parent_text_1" refType="w" fact="0"/>
              <dgm:constr type="t" for="ch" forName="parent_text_1" refType="h" fact="0"/>
              <dgm:constr type="w" for="ch" forName="parent_text_1" refType="w" fact="0.6457"/>
              <dgm:constr type="h" for="ch" forName="parent_text_1" refType="h" fact="0.225"/>
              <dgm:constr type="l" for="ch" forName="image_accent_1" refType="w" fact="0.4305"/>
              <dgm:constr type="t" for="ch" forName="image_accent_1" refType="h" fact="0.2417"/>
              <dgm:constr type="w" for="ch" forName="image_accent_1" refType="w" fact="0.4352"/>
              <dgm:constr type="h" for="ch" forName="image_accent_1" refType="h" fact="0.7583"/>
              <dgm:constr type="l" for="ch" forName="accent_1" refType="w" fact="0.8709"/>
              <dgm:constr type="t" for="ch" forName="accent_1" refType="h" fact="0.1491"/>
              <dgm:constr type="w" for="ch" forName="accent_1" refType="w" fact="0.1291"/>
              <dgm:constr type="h" for="ch" forName="accent_1" refType="h" fact="0.225"/>
              <dgm:constr type="l" for="ch" forName="image_1" refType="w" fact="0.4457"/>
              <dgm:constr type="t" for="ch" forName="image_1" refType="h" fact="0.2709"/>
              <dgm:constr type="w" for="ch" forName="image_1" refType="w" fact="0.4018"/>
              <dgm:constr type="h" for="ch" forName="image_1" refType="h" fact="0.7"/>
            </dgm:constrLst>
          </dgm:if>
          <dgm:else name="Name5">
            <dgm:constrLst>
              <dgm:constr type="primFontSz" for="des" ptType="node" op="equ" val="65"/>
              <dgm:constr type="l" for="ch" forName="parent_text_1" refType="w" fact="0.3543"/>
              <dgm:constr type="t" for="ch" forName="parent_text_1" refType="h" fact="0"/>
              <dgm:constr type="w" for="ch" forName="parent_text_1" refType="w" fact="0.6457"/>
              <dgm:constr type="h" for="ch" forName="parent_text_1" refType="h" fact="0.225"/>
              <dgm:constr type="l" for="ch" forName="image_accent_1" refType="w" fact="0.1344"/>
              <dgm:constr type="t" for="ch" forName="image_accent_1" refType="h" fact="0.2417"/>
              <dgm:constr type="w" for="ch" forName="image_accent_1" refType="w" fact="0.4352"/>
              <dgm:constr type="h" for="ch" forName="image_accent_1" refType="h" fact="0.7583"/>
              <dgm:constr type="l" for="ch" forName="accent_1" refType="w" fact="0"/>
              <dgm:constr type="t" for="ch" forName="accent_1" refType="h" fact="0.1491"/>
              <dgm:constr type="w" for="ch" forName="accent_1" refType="w" fact="0.1291"/>
              <dgm:constr type="h" for="ch" forName="accent_1" refType="h" fact="0.225"/>
              <dgm:constr type="l" for="ch" forName="image_1" refType="w" fact="0.1525"/>
              <dgm:constr type="t" for="ch" forName="image_1" refType="h" fact="0.2709"/>
              <dgm:constr type="w" for="ch" forName="image_1" refType="w" fact="0.4018"/>
              <dgm:constr type="h" for="ch" forName="image_1" refType="h" fact="0.7"/>
            </dgm:constrLst>
          </dgm:else>
        </dgm:choose>
      </dgm:if>
      <dgm:if name="Name6" axis="ch" ptType="node" func="cnt" op="equ" val="2">
        <dgm:alg type="composite">
          <dgm:param type="ar" val="3.193"/>
        </dgm:alg>
        <dgm:choose name="Name7">
          <dgm:if name="Name8" func="var" arg="dir" op="equ" val="norm">
            <dgm:constrLst>
              <dgm:constr type="primFontSz" for="des" ptType="node" op="equ" val="65"/>
              <dgm:constr type="l" for="ch" forName="image_accent_1" refType="w" fact="0.2342"/>
              <dgm:constr type="t" for="ch" forName="image_accent_1" refType="h" fact="0.2354"/>
              <dgm:constr type="w" for="ch" forName="image_accent_1" refType="w" fact="0.2394"/>
              <dgm:constr type="h" for="ch" forName="image_accent_1" refType="h" fact="0.7646"/>
              <dgm:constr type="l" for="ch" forName="image_1" refType="w" fact="0.2434"/>
              <dgm:constr type="t" for="ch" forName="image_1" refType="h" fact="0.2648"/>
              <dgm:constr type="w" for="ch" forName="image_1" refType="w" fact="0.2211"/>
              <dgm:constr type="h" for="ch" forName="image_1" refType="h" fact="0.7058"/>
              <dgm:constr type="l" for="ch" forName="parent_text_1" refType="w" fact="0"/>
              <dgm:constr type="t" for="ch" forName="parent_text_1" refType="h" fact="0"/>
              <dgm:constr type="w" for="ch" forName="parent_text_1" refType="w" fact="0.3553"/>
              <dgm:constr type="h" for="ch" forName="parent_text_1" refType="h" fact="0.215"/>
              <dgm:constr type="l" for="ch" forName="image_accent_2" refType="w" fact="0.5"/>
              <dgm:constr type="t" for="ch" forName="image_accent_2" refType="h" fact="0.3883"/>
              <dgm:constr type="w" for="ch" forName="image_accent_2" refType="w" fact="0.1253"/>
              <dgm:constr type="h" for="ch" forName="image_accent_2" refType="h" fact="0.4"/>
              <dgm:constr type="l" for="ch" forName="image_2" refType="w" fact="0.5074"/>
              <dgm:constr type="t" for="ch" forName="image_2" refType="h" fact="0.4118"/>
              <dgm:constr type="w" for="ch" forName="image_2" refType="w" fact="0.1105"/>
              <dgm:constr type="h" for="ch" forName="image_2" refType="h" fact="0.3529"/>
              <dgm:constr type="l" for="ch" forName="parent_text_2" refType="w" fact="0.6447"/>
              <dgm:constr type="t" for="ch" forName="parent_text_2" refType="h" fact="0.4118"/>
              <dgm:constr type="w" for="ch" forName="parent_text_2" refType="w" fact="0.3553"/>
              <dgm:constr type="h" for="ch" forName="parent_text_2" refType="h" fact="0.3529"/>
              <dgm:constr type="l" for="ch" forName="accent_1" refType="w" fact="0.6316"/>
              <dgm:constr type="t" for="ch" forName="accent_1" refType="h" fact="0.7899"/>
              <dgm:constr type="w" for="ch" forName="accent_1" refType="w" fact="0.0395"/>
              <dgm:constr type="h" for="ch" forName="accent_1" refType="h" fact="0.126"/>
            </dgm:constrLst>
          </dgm:if>
          <dgm:else name="Name9">
            <dgm:constrLst>
              <dgm:constr type="primFontSz" for="des" ptType="node" op="equ" val="65"/>
              <dgm:constr type="l" for="ch" forName="image_accent_2" refType="w" fact="0.3747"/>
              <dgm:constr type="t" for="ch" forName="image_accent_2" refType="h" fact="0.3883"/>
              <dgm:constr type="w" for="ch" forName="image_accent_2" refType="w" fact="0.1253"/>
              <dgm:constr type="h" for="ch" forName="image_accent_2" refType="h" fact="0.4"/>
              <dgm:constr type="l" for="ch" forName="image_2" refType="w" fact="0.3821"/>
              <dgm:constr type="t" for="ch" forName="image_2" refType="h" fact="0.4118"/>
              <dgm:constr type="w" for="ch" forName="image_2" refType="w" fact="0.1105"/>
              <dgm:constr type="h" for="ch" forName="image_2" refType="h" fact="0.3529"/>
              <dgm:constr type="l" for="ch" forName="parent_text_1" refType="w" fact="0.6447"/>
              <dgm:constr type="t" for="ch" forName="parent_text_1" refType="h" fact="0"/>
              <dgm:constr type="w" for="ch" forName="parent_text_1" refType="w" fact="0.3553"/>
              <dgm:constr type="h" for="ch" forName="parent_text_1" refType="h" fact="0.215"/>
              <dgm:constr type="l" for="ch" forName="parent_text_2" refType="w" fact="0"/>
              <dgm:constr type="t" for="ch" forName="parent_text_2" refType="h" fact="0.4118"/>
              <dgm:constr type="w" for="ch" forName="parent_text_2" refType="w" fact="0.3553"/>
              <dgm:constr type="h" for="ch" forName="parent_text_2" refType="h" fact="0.3529"/>
              <dgm:constr type="l" for="ch" forName="image_accent_1" refType="w" fact="0.5263"/>
              <dgm:constr type="t" for="ch" forName="image_accent_1" refType="h" fact="0.2354"/>
              <dgm:constr type="w" for="ch" forName="image_accent_1" refType="w" fact="0.2394"/>
              <dgm:constr type="h" for="ch" forName="image_accent_1" refType="h" fact="0.7646"/>
              <dgm:constr type="l" for="ch" forName="image_1" refType="w" fact="0.5355"/>
              <dgm:constr type="t" for="ch" forName="image_1" refType="h" fact="0.2648"/>
              <dgm:constr type="w" for="ch" forName="image_1" refType="w" fact="0.2211"/>
              <dgm:constr type="h" for="ch" forName="image_1" refType="h" fact="0.7058"/>
              <dgm:constr type="l" for="ch" forName="accent_1" refType="w" fact="0.3289"/>
              <dgm:constr type="t" for="ch" forName="accent_1" refType="h" fact="0.7899"/>
              <dgm:constr type="w" for="ch" forName="accent_1" refType="w" fact="0.0395"/>
              <dgm:constr type="h" for="ch" forName="accent_1" refType="h" fact="0.126"/>
            </dgm:constrLst>
          </dgm:else>
        </dgm:choose>
      </dgm:if>
      <dgm:if name="Name10" axis="ch" ptType="node" func="cnt" op="equ" val="3">
        <dgm:alg type="composite">
          <dgm:param type="ar" val="2.4052"/>
        </dgm:alg>
        <dgm:choose name="Name11">
          <dgm:if name="Name12" func="var" arg="dir" op="equ" val="norm">
            <dgm:constrLst>
              <dgm:constr type="primFontSz" for="des" ptType="node" op="equ" val="65"/>
              <dgm:constr type="l" for="ch" forName="accent_3" refType="w" fact="0.6316"/>
              <dgm:constr type="t" for="ch" forName="accent_3" refType="h" fact="0.8355"/>
              <dgm:constr type="w" for="ch" forName="accent_3" refType="w" fact="0.0395"/>
              <dgm:constr type="h" for="ch" forName="accent_3" refType="h" fact="0.0949"/>
              <dgm:constr type="l" for="ch" forName="image_accent_2" refType="w" fact="0.4936"/>
              <dgm:constr type="t" for="ch" forName="image_accent_2" refType="h" fact="0.5329"/>
              <dgm:constr type="w" for="ch" forName="image_accent_2" refType="w" fact="0.1253"/>
              <dgm:constr type="h" for="ch" forName="image_accent_2" refType="h" fact="0.3013"/>
              <dgm:constr type="l" for="ch" forName="image_2" refType="w" fact="0.501"/>
              <dgm:constr type="t" for="ch" forName="image_2" refType="h" fact="0.5507"/>
              <dgm:constr type="w" for="ch" forName="image_2" refType="w" fact="0.1105"/>
              <dgm:constr type="h" for="ch" forName="image_2" refType="h" fact="0.2658"/>
              <dgm:constr type="l" for="ch" forName="image_accent_3" refType="w" fact="0.4446"/>
              <dgm:constr type="t" for="ch" forName="image_accent_3" refType="h" fact="0.1076"/>
              <dgm:constr type="w" for="ch" forName="image_accent_3" refType="w" fact="0.1606"/>
              <dgm:constr type="h" for="ch" forName="image_accent_3" refType="h" fact="0.3864"/>
              <dgm:constr type="l" for="ch" forName="image_3" refType="w" fact="0.4531"/>
              <dgm:constr type="t" for="ch" forName="image_3" refType="h" fact="0.128"/>
              <dgm:constr type="w" for="ch" forName="image_3" refType="w" fact="0.1437"/>
              <dgm:constr type="h" for="ch" forName="image_3" refType="h" fact="0.3456"/>
              <dgm:constr type="l" for="ch" forName="image_accent_1" refType="w" fact="0.2368"/>
              <dgm:constr type="t" for="ch" forName="image_accent_1" refType="h" fact="0.4241"/>
              <dgm:constr type="w" for="ch" forName="image_accent_1" refType="w" fact="0.2394"/>
              <dgm:constr type="h" for="ch" forName="image_accent_1" refType="h" fact="0.5759"/>
              <dgm:constr type="l" for="ch" forName="image_1" refType="w" fact="0.246"/>
              <dgm:constr type="t" for="ch" forName="image_1" refType="h" fact="0.4462"/>
              <dgm:constr type="w" for="ch" forName="image_1" refType="w" fact="0.2211"/>
              <dgm:constr type="h" for="ch" forName="image_1" refType="h" fact="0.5317"/>
              <dgm:constr type="l" for="ch" forName="parent_text_1" refType="w" fact="0"/>
              <dgm:constr type="t" for="ch" forName="parent_text_1" refType="h" fact="0.128"/>
              <dgm:constr type="w" for="ch" forName="parent_text_1" refType="w" fact="0.3553"/>
              <dgm:constr type="h" for="ch" forName="parent_text_1" refType="h" fact="0.2775"/>
              <dgm:constr type="l" for="ch" forName="accent_1" refType="w" fact="0.3895"/>
              <dgm:constr type="t" for="ch" forName="accent_1" refType="h" fact="0"/>
              <dgm:constr type="w" for="ch" forName="accent_1" refType="w" fact="0.0711"/>
              <dgm:constr type="h" for="ch" forName="accent_1" refType="h" fact="0.1709"/>
              <dgm:constr type="l" for="ch" forName="parent_text_2" refType="w" fact="0.6447"/>
              <dgm:constr type="t" for="ch" forName="parent_text_2" refType="h" fact="0.5507"/>
              <dgm:constr type="w" for="ch" forName="parent_text_2" refType="w" fact="0.3553"/>
              <dgm:constr type="h" for="ch" forName="parent_text_2" refType="h" fact="0.2658"/>
              <dgm:constr type="l" for="ch" forName="parent_text_3" refType="w" fact="0.6316"/>
              <dgm:constr type="t" for="ch" forName="parent_text_3" refType="h" fact="0.128"/>
              <dgm:constr type="w" for="ch" forName="parent_text_3" refType="w" fact="0.3553"/>
              <dgm:constr type="h" for="ch" forName="parent_text_3" refType="h" fact="0.3456"/>
              <dgm:constr type="l" for="ch" forName="accent_2" refType="w" fact="0.5789"/>
              <dgm:constr type="t" for="ch" forName="accent_2" refType="h" fact="0.0127"/>
              <dgm:constr type="w" for="ch" forName="accent_2" refType="w" fact="0.0526"/>
              <dgm:constr type="h" for="ch" forName="accent_2" refType="h" fact="0.1266"/>
            </dgm:constrLst>
          </dgm:if>
          <dgm:else name="Name13">
            <dgm:constrLst>
              <dgm:constr type="primFontSz" for="des" ptType="node" op="equ" val="65"/>
              <dgm:constr type="l" for="ch" forName="accent_1" refType="w" fact="0.3289"/>
              <dgm:constr type="t" for="ch" forName="accent_1" refType="h" fact="0.8355"/>
              <dgm:constr type="w" for="ch" forName="accent_1" refType="w" fact="0.0395"/>
              <dgm:constr type="h" for="ch" forName="accent_1" refType="h" fact="0.0949"/>
              <dgm:constr type="l" for="ch" forName="image_accent_2" refType="w" fact="0.3811"/>
              <dgm:constr type="t" for="ch" forName="image_accent_2" refType="h" fact="0.5329"/>
              <dgm:constr type="w" for="ch" forName="image_accent_2" refType="w" fact="0.1253"/>
              <dgm:constr type="h" for="ch" forName="image_accent_2" refType="h" fact="0.3013"/>
              <dgm:constr type="l" for="ch" forName="image_2" refType="w" fact="0.3885"/>
              <dgm:constr type="t" for="ch" forName="image_2" refType="h" fact="0.5507"/>
              <dgm:constr type="w" for="ch" forName="image_2" refType="w" fact="0.1105"/>
              <dgm:constr type="h" for="ch" forName="image_2" refType="h" fact="0.2658"/>
              <dgm:constr type="l" for="ch" forName="image_accent_3" refType="w" fact="0.3947"/>
              <dgm:constr type="t" for="ch" forName="image_accent_3" refType="h" fact="0.1076"/>
              <dgm:constr type="w" for="ch" forName="image_accent_3" refType="w" fact="0.1606"/>
              <dgm:constr type="h" for="ch" forName="image_accent_3" refType="h" fact="0.3864"/>
              <dgm:constr type="l" for="ch" forName="image_3" refType="w" fact="0.4032"/>
              <dgm:constr type="t" for="ch" forName="image_3" refType="h" fact="0.128"/>
              <dgm:constr type="w" for="ch" forName="image_3" refType="w" fact="0.1437"/>
              <dgm:constr type="h" for="ch" forName="image_3" refType="h" fact="0.3456"/>
              <dgm:constr type="l" for="ch" forName="image_accent_1" refType="w" fact="0.5237"/>
              <dgm:constr type="t" for="ch" forName="image_accent_1" refType="h" fact="0.4241"/>
              <dgm:constr type="w" for="ch" forName="image_accent_1" refType="w" fact="0.2394"/>
              <dgm:constr type="h" for="ch" forName="image_accent_1" refType="h" fact="0.5759"/>
              <dgm:constr type="l" for="ch" forName="image_1" refType="w" fact="0.5329"/>
              <dgm:constr type="t" for="ch" forName="image_1" refType="h" fact="0.4462"/>
              <dgm:constr type="w" for="ch" forName="image_1" refType="w" fact="0.2211"/>
              <dgm:constr type="h" for="ch" forName="image_1" refType="h" fact="0.5317"/>
              <dgm:constr type="l" for="ch" forName="parent_text_1" refType="w" fact="0.6447"/>
              <dgm:constr type="t" for="ch" forName="parent_text_1" refType="h" fact="0.128"/>
              <dgm:constr type="w" for="ch" forName="parent_text_1" refType="w" fact="0.3553"/>
              <dgm:constr type="h" for="ch" forName="parent_text_1" refType="h" fact="0.2775"/>
              <dgm:constr type="l" for="ch" forName="accent_2" refType="w" fact="0.5395"/>
              <dgm:constr type="t" for="ch" forName="accent_2" refType="h" fact="0"/>
              <dgm:constr type="w" for="ch" forName="accent_2" refType="w" fact="0.0711"/>
              <dgm:constr type="h" for="ch" forName="accent_2" refType="h" fact="0.1709"/>
              <dgm:constr type="l" for="ch" forName="parent_text_3" refType="w" fact="0.0132"/>
              <dgm:constr type="t" for="ch" forName="parent_text_3" refType="h" fact="0.128"/>
              <dgm:constr type="w" for="ch" forName="parent_text_3" refType="w" fact="0.3553"/>
              <dgm:constr type="h" for="ch" forName="parent_text_3" refType="h" fact="0.3456"/>
              <dgm:constr type="l" for="ch" forName="parent_text_2" refType="w" fact="0"/>
              <dgm:constr type="t" for="ch" forName="parent_text_2" refType="h" fact="0.5507"/>
              <dgm:constr type="w" for="ch" forName="parent_text_2" refType="w" fact="0.3553"/>
              <dgm:constr type="h" for="ch" forName="parent_text_2" refType="h" fact="0.2658"/>
              <dgm:constr type="l" for="ch" forName="accent_3" refType="w" fact="0.3684"/>
              <dgm:constr type="t" for="ch" forName="accent_3" refType="h" fact="0.0127"/>
              <dgm:constr type="w" for="ch" forName="accent_3" refType="w" fact="0.0526"/>
              <dgm:constr type="h" for="ch" forName="accent_3" refType="h" fact="0.1266"/>
            </dgm:constrLst>
          </dgm:else>
        </dgm:choose>
      </dgm:if>
      <dgm:if name="Name14" axis="ch" ptType="node" func="cnt" op="equ" val="4">
        <dgm:alg type="composite">
          <dgm:param type="ar" val="1.6704"/>
        </dgm:alg>
        <dgm:choose name="Name15">
          <dgm:if name="Name16" func="var" arg="dir" op="equ" val="norm">
            <dgm:constrLst>
              <dgm:constr type="primFontSz" for="des" ptType="node" op="equ" val="65"/>
              <dgm:constr type="l" for="ch" forName="image_accent_4" refType="w" fact="0.4626"/>
              <dgm:constr type="t" for="ch" forName="image_accent_4" refType="h" fact="0.1415"/>
              <dgm:constr type="w" for="ch" forName="image_accent_4" refType="w" fact="0.1126"/>
              <dgm:constr type="h" for="ch" forName="image_accent_4" refType="h" fact="0.1881"/>
              <dgm:constr type="l" for="ch" forName="image_4" refType="w" fact="0.4692"/>
              <dgm:constr type="t" for="ch" forName="image_4" refType="h" fact="0.1526"/>
              <dgm:constr type="w" for="ch" forName="image_4" refType="w" fact="0.0994"/>
              <dgm:constr type="h" for="ch" forName="image_4" refType="h" fact="0.166"/>
              <dgm:constr type="l" for="ch" forName="image_accent_2" refType="w" fact="0.4936"/>
              <dgm:constr type="t" for="ch" forName="image_accent_2" refType="h" fact="0.6756"/>
              <dgm:constr type="w" for="ch" forName="image_accent_2" refType="w" fact="0.1253"/>
              <dgm:constr type="h" for="ch" forName="image_accent_2" refType="h" fact="0.2092"/>
              <dgm:constr type="l" for="ch" forName="image_2" refType="w" fact="0.501"/>
              <dgm:constr type="t" for="ch" forName="image_2" refType="h" fact="0.6879"/>
              <dgm:constr type="w" for="ch" forName="image_2" refType="w" fact="0.1105"/>
              <dgm:constr type="h" for="ch" forName="image_2" refType="h" fact="0.1846"/>
              <dgm:constr type="l" for="ch" forName="image_accent_3" refType="w" fact="0.4446"/>
              <dgm:constr type="t" for="ch" forName="image_accent_3" refType="h" fact="0.3802"/>
              <dgm:constr type="w" for="ch" forName="image_accent_3" refType="w" fact="0.1606"/>
              <dgm:constr type="h" for="ch" forName="image_accent_3" refType="h" fact="0.2683"/>
              <dgm:constr type="l" for="ch" forName="image_3" refType="w" fact="0.4531"/>
              <dgm:constr type="t" for="ch" forName="image_3" refType="h" fact="0.3944"/>
              <dgm:constr type="w" for="ch" forName="image_3" refType="w" fact="0.1437"/>
              <dgm:constr type="h" for="ch" forName="image_3" refType="h" fact="0.24"/>
              <dgm:constr type="l" for="ch" forName="image_accent_1" refType="w" fact="0.2368"/>
              <dgm:constr type="t" for="ch" forName="image_accent_1" refType="h" fact="0.6"/>
              <dgm:constr type="w" for="ch" forName="image_accent_1" refType="w" fact="0.2394"/>
              <dgm:constr type="h" for="ch" forName="image_accent_1" refType="h" fact="0.4"/>
              <dgm:constr type="l" for="ch" forName="image_1" refType="w" fact="0.246"/>
              <dgm:constr type="t" for="ch" forName="image_1" refType="h" fact="0.6154"/>
              <dgm:constr type="w" for="ch" forName="image_1" refType="w" fact="0.2211"/>
              <dgm:constr type="h" for="ch" forName="image_1" refType="h" fact="0.3692"/>
              <dgm:constr type="l" for="ch" forName="parent_text_1" refType="w" fact="0"/>
              <dgm:constr type="t" for="ch" forName="parent_text_1" refType="h" fact="0.3944"/>
              <dgm:constr type="w" for="ch" forName="parent_text_1" refType="w" fact="0.3553"/>
              <dgm:constr type="h" for="ch" forName="parent_text_1" refType="h" fact="0.1931"/>
              <dgm:constr type="l" for="ch" forName="accent_1" refType="w" fact="0.3895"/>
              <dgm:constr type="t" for="ch" forName="accent_1" refType="h" fact="0.3055"/>
              <dgm:constr type="w" for="ch" forName="accent_1" refType="w" fact="0.0711"/>
              <dgm:constr type="h" for="ch" forName="accent_1" refType="h" fact="0.1187"/>
              <dgm:constr type="l" for="ch" forName="parent_text_3" refType="w" fact="0.6316"/>
              <dgm:constr type="t" for="ch" forName="parent_text_3" refType="h" fact="0.3944"/>
              <dgm:constr type="w" for="ch" forName="parent_text_3" refType="w" fact="0.3553"/>
              <dgm:constr type="h" for="ch" forName="parent_text_3" refType="h" fact="0.24"/>
              <dgm:constr type="l" for="ch" forName="parent_text_2" refType="w" fact="0.6447"/>
              <dgm:constr type="t" for="ch" forName="parent_text_2" refType="h" fact="0.6879"/>
              <dgm:constr type="w" for="ch" forName="parent_text_2" refType="w" fact="0.3553"/>
              <dgm:constr type="h" for="ch" forName="parent_text_2" refType="h" fact="0.1846"/>
              <dgm:constr type="l" for="ch" forName="accent_2" refType="w" fact="0.5347"/>
              <dgm:constr type="t" for="ch" forName="accent_2" refType="h" fact="0.044"/>
              <dgm:constr type="w" for="ch" forName="accent_2" refType="w" fact="0.0526"/>
              <dgm:constr type="h" for="ch" forName="accent_2" refType="h" fact="0.0879"/>
              <dgm:constr type="l" for="ch" forName="accent_3" refType="w" fact="0.6005"/>
              <dgm:constr type="t" for="ch" forName="accent_3" refType="h" fact="0"/>
              <dgm:constr type="w" for="ch" forName="accent_3" refType="w" fact="0.0263"/>
              <dgm:constr type="h" for="ch" forName="accent_3" refType="h" fact="0.044"/>
              <dgm:constr type="l" for="ch" forName="parent_text_4" refType="w" fact="0.6005"/>
              <dgm:constr type="t" for="ch" forName="parent_text_4" refType="h" fact="0.1526"/>
              <dgm:constr type="w" for="ch" forName="parent_text_4" refType="w" fact="0.3553"/>
              <dgm:constr type="h" for="ch" forName="parent_text_4" refType="h" fact="0.166"/>
              <dgm:constr type="l" for="ch" forName="accent_4" refType="w" fact="0.6268"/>
              <dgm:constr type="t" for="ch" forName="accent_4" refType="h" fact="0.8791"/>
              <dgm:constr type="w" for="ch" forName="accent_4" refType="w" fact="0.0395"/>
              <dgm:constr type="h" for="ch" forName="accent_4" refType="h" fact="0.0659"/>
            </dgm:constrLst>
          </dgm:if>
          <dgm:else name="Name17">
            <dgm:constrLst>
              <dgm:constr type="primFontSz" for="des" ptType="node" op="equ" val="65"/>
              <dgm:constr type="l" for="ch" forName="image_accent_4" refType="w" fact="0.4248"/>
              <dgm:constr type="t" for="ch" forName="image_accent_4" refType="h" fact="0.1415"/>
              <dgm:constr type="w" for="ch" forName="image_accent_4" refType="w" fact="0.1126"/>
              <dgm:constr type="h" for="ch" forName="image_accent_4" refType="h" fact="0.1881"/>
              <dgm:constr type="l" for="ch" forName="image_4" refType="w" fact="0.4314"/>
              <dgm:constr type="t" for="ch" forName="image_4" refType="h" fact="0.1526"/>
              <dgm:constr type="w" for="ch" forName="image_4" refType="w" fact="0.0994"/>
              <dgm:constr type="h" for="ch" forName="image_4" refType="h" fact="0.166"/>
              <dgm:constr type="l" for="ch" forName="image_accent_2" refType="w" fact="0.3811"/>
              <dgm:constr type="t" for="ch" forName="image_accent_2" refType="h" fact="0.6756"/>
              <dgm:constr type="w" for="ch" forName="image_accent_2" refType="w" fact="0.1253"/>
              <dgm:constr type="h" for="ch" forName="image_accent_2" refType="h" fact="0.2092"/>
              <dgm:constr type="l" for="ch" forName="image_2" refType="w" fact="0.3885"/>
              <dgm:constr type="t" for="ch" forName="image_2" refType="h" fact="0.6879"/>
              <dgm:constr type="w" for="ch" forName="image_2" refType="w" fact="0.1105"/>
              <dgm:constr type="h" for="ch" forName="image_2" refType="h" fact="0.1846"/>
              <dgm:constr type="l" for="ch" forName="image_accent_3" refType="w" fact="0.3947"/>
              <dgm:constr type="t" for="ch" forName="image_accent_3" refType="h" fact="0.3802"/>
              <dgm:constr type="w" for="ch" forName="image_accent_3" refType="w" fact="0.1606"/>
              <dgm:constr type="h" for="ch" forName="image_accent_3" refType="h" fact="0.2683"/>
              <dgm:constr type="l" for="ch" forName="image_3" refType="w" fact="0.4032"/>
              <dgm:constr type="t" for="ch" forName="image_3" refType="h" fact="0.3944"/>
              <dgm:constr type="w" for="ch" forName="image_3" refType="w" fact="0.1437"/>
              <dgm:constr type="h" for="ch" forName="image_3" refType="h" fact="0.24"/>
              <dgm:constr type="l" for="ch" forName="image_accent_1" refType="w" fact="0.5237"/>
              <dgm:constr type="t" for="ch" forName="image_accent_1" refType="h" fact="0.6"/>
              <dgm:constr type="w" for="ch" forName="image_accent_1" refType="w" fact="0.2394"/>
              <dgm:constr type="h" for="ch" forName="image_accent_1" refType="h" fact="0.4"/>
              <dgm:constr type="l" for="ch" forName="image_1" refType="w" fact="0.5329"/>
              <dgm:constr type="t" for="ch" forName="image_1" refType="h" fact="0.6154"/>
              <dgm:constr type="w" for="ch" forName="image_1" refType="w" fact="0.2211"/>
              <dgm:constr type="h" for="ch" forName="image_1" refType="h" fact="0.3692"/>
              <dgm:constr type="l" for="ch" forName="parent_text_1" refType="w" fact="0.6447"/>
              <dgm:constr type="t" for="ch" forName="parent_text_1" refType="h" fact="0.3944"/>
              <dgm:constr type="w" for="ch" forName="parent_text_1" refType="w" fact="0.3553"/>
              <dgm:constr type="h" for="ch" forName="parent_text_1" refType="h" fact="0.1931"/>
              <dgm:constr type="l" for="ch" forName="accent_1" refType="w" fact="0.5395"/>
              <dgm:constr type="t" for="ch" forName="accent_1" refType="h" fact="0.3055"/>
              <dgm:constr type="w" for="ch" forName="accent_1" refType="w" fact="0.0711"/>
              <dgm:constr type="h" for="ch" forName="accent_1" refType="h" fact="0.1187"/>
              <dgm:constr type="l" for="ch" forName="parent_text_3" refType="w" fact="0.0132"/>
              <dgm:constr type="t" for="ch" forName="parent_text_3" refType="h" fact="0.3944"/>
              <dgm:constr type="w" for="ch" forName="parent_text_3" refType="w" fact="0.3553"/>
              <dgm:constr type="h" for="ch" forName="parent_text_3" refType="h" fact="0.24"/>
              <dgm:constr type="l" for="ch" forName="parent_text_2" refType="w" fact="0"/>
              <dgm:constr type="t" for="ch" forName="parent_text_2" refType="h" fact="0.6879"/>
              <dgm:constr type="w" for="ch" forName="parent_text_2" refType="w" fact="0.3553"/>
              <dgm:constr type="h" for="ch" forName="parent_text_2" refType="h" fact="0.1846"/>
              <dgm:constr type="l" for="ch" forName="accent_2" refType="w" fact="0.4126"/>
              <dgm:constr type="t" for="ch" forName="accent_2" refType="h" fact="0.044"/>
              <dgm:constr type="w" for="ch" forName="accent_2" refType="w" fact="0.0526"/>
              <dgm:constr type="h" for="ch" forName="accent_2" refType="h" fact="0.0879"/>
              <dgm:constr type="l" for="ch" forName="accent_3" refType="w" fact="0.3732"/>
              <dgm:constr type="t" for="ch" forName="accent_3" refType="h" fact="0"/>
              <dgm:constr type="w" for="ch" forName="accent_3" refType="w" fact="0.0263"/>
              <dgm:constr type="h" for="ch" forName="accent_3" refType="h" fact="0.044"/>
              <dgm:constr type="l" for="ch" forName="parent_text_4" refType="w" fact="0.0442"/>
              <dgm:constr type="t" for="ch" forName="parent_text_4" refType="h" fact="0.1526"/>
              <dgm:constr type="w" for="ch" forName="parent_text_4" refType="w" fact="0.3553"/>
              <dgm:constr type="h" for="ch" forName="parent_text_4" refType="h" fact="0.166"/>
              <dgm:constr type="l" for="ch" forName="accent_4" refType="w" fact="0.3337"/>
              <dgm:constr type="t" for="ch" forName="accent_4" refType="h" fact="0.8791"/>
              <dgm:constr type="w" for="ch" forName="accent_4" refType="w" fact="0.0395"/>
              <dgm:constr type="h" for="ch" forName="accent_4" refType="h" fact="0.0659"/>
            </dgm:constrLst>
          </dgm:else>
        </dgm:choose>
      </dgm:if>
      <dgm:if name="Name18" axis="ch" ptType="node" func="cnt" op="equ" val="5">
        <dgm:alg type="composite">
          <dgm:param type="ar" val="1.5076"/>
        </dgm:alg>
        <dgm:choose name="Name19">
          <dgm:if name="Name20" func="var" arg="dir" op="equ" val="norm">
            <dgm:constrLst>
              <dgm:constr type="primFontSz" for="des" ptType="node" op="equ" val="65"/>
              <dgm:constr type="l" for="ch" forName="image_accent_5" refType="w" fact="0.5301"/>
              <dgm:constr type="t" for="ch" forName="image_accent_5" refType="h" fact="0.0862"/>
              <dgm:constr type="w" for="ch" forName="image_accent_5" refType="w" fact="0.1022"/>
              <dgm:constr type="h" for="ch" forName="image_accent_5" refType="h" fact="0.1541"/>
              <dgm:constr type="l" for="ch" forName="image_5" refType="w" fact="0.5361"/>
              <dgm:constr type="t" for="ch" forName="image_5" refType="h" fact="0.0953"/>
              <dgm:constr type="w" for="ch" forName="image_5" refType="w" fact="0.0902"/>
              <dgm:constr type="h" for="ch" forName="image_5" refType="h" fact="0.1359"/>
              <dgm:constr type="l" for="ch" forName="image_accent_4" refType="w" fact="0.4528"/>
              <dgm:constr type="t" for="ch" forName="image_accent_4" refType="h" fact="0.2416"/>
              <dgm:constr type="w" for="ch" forName="image_accent_4" refType="w" fact="0.1103"/>
              <dgm:constr type="h" for="ch" forName="image_accent_4" refType="h" fact="0.1662"/>
              <dgm:constr type="l" for="ch" forName="image_4" refType="w" fact="0.4593"/>
              <dgm:constr type="t" for="ch" forName="image_4" refType="h" fact="0.2513"/>
              <dgm:constr type="w" for="ch" forName="image_4" refType="w" fact="0.0973"/>
              <dgm:constr type="h" for="ch" forName="image_4" refType="h" fact="0.1467"/>
              <dgm:constr type="l" for="ch" forName="image_accent_2" refType="w" fact="0.4832"/>
              <dgm:constr type="t" for="ch" forName="image_accent_2" refType="h" fact="0.7134"/>
              <dgm:constr type="w" for="ch" forName="image_accent_2" refType="w" fact="0.1226"/>
              <dgm:constr type="h" for="ch" forName="image_accent_2" refType="h" fact="0.1849"/>
              <dgm:constr type="l" for="ch" forName="image_2" refType="w" fact="0.4904"/>
              <dgm:constr type="t" for="ch" forName="image_2" refType="h" fact="0.7243"/>
              <dgm:constr type="w" for="ch" forName="image_2" refType="w" fact="0.1082"/>
              <dgm:constr type="h" for="ch" forName="image_2" refType="h" fact="0.1631"/>
              <dgm:constr type="l" for="ch" forName="image_accent_3" refType="w" fact="0.4352"/>
              <dgm:constr type="t" for="ch" forName="image_accent_3" refType="h" fact="0.4525"/>
              <dgm:constr type="w" for="ch" forName="image_accent_3" refType="w" fact="0.1573"/>
              <dgm:constr type="h" for="ch" forName="image_accent_3" refType="h" fact="0.2371"/>
              <dgm:constr type="l" for="ch" forName="image_3" refType="w" fact="0.4435"/>
              <dgm:constr type="t" for="ch" forName="image_3" refType="h" fact="0.465"/>
              <dgm:constr type="w" for="ch" forName="image_3" refType="w" fact="0.1407"/>
              <dgm:constr type="h" for="ch" forName="image_3" refType="h" fact="0.212"/>
              <dgm:constr type="l" for="ch" forName="image_accent_1" refType="w" fact="0.2318"/>
              <dgm:constr type="t" for="ch" forName="image_accent_1" refType="h" fact="0.6466"/>
              <dgm:constr type="w" for="ch" forName="image_accent_1" refType="w" fact="0.2344"/>
              <dgm:constr type="h" for="ch" forName="image_accent_1" refType="h" fact="0.3534"/>
              <dgm:constr type="l" for="ch" forName="image_1" refType="w" fact="0.2408"/>
              <dgm:constr type="t" for="ch" forName="image_1" refType="h" fact="0.6602"/>
              <dgm:constr type="w" for="ch" forName="image_1" refType="w" fact="0.2164"/>
              <dgm:constr type="h" for="ch" forName="image_1" refType="h" fact="0.3262"/>
              <dgm:constr type="l" for="ch" forName="parent_text_1" refType="w" fact="0"/>
              <dgm:constr type="t" for="ch" forName="parent_text_1" refType="h" fact="0.465"/>
              <dgm:constr type="w" for="ch" forName="parent_text_1" refType="w" fact="0.3478"/>
              <dgm:constr type="h" for="ch" forName="parent_text_1" refType="h" fact="0.165"/>
              <dgm:constr type="l" for="ch" forName="accent_1" refType="w" fact="0.3813"/>
              <dgm:constr type="t" for="ch" forName="accent_1" refType="h" fact="0.3864"/>
              <dgm:constr type="w" for="ch" forName="accent_1" refType="w" fact="0.0696"/>
              <dgm:constr type="h" for="ch" forName="accent_1" refType="h" fact="0.1049"/>
              <dgm:constr type="l" for="ch" forName="parent_text_3" refType="w" fact="0.6182"/>
              <dgm:constr type="t" for="ch" forName="parent_text_3" refType="h" fact="0.465"/>
              <dgm:constr type="w" for="ch" forName="parent_text_3" refType="w" fact="0.3478"/>
              <dgm:constr type="h" for="ch" forName="parent_text_3" refType="h" fact="0.212"/>
              <dgm:constr type="l" for="ch" forName="parent_text_2" refType="w" fact="0.6311"/>
              <dgm:constr type="t" for="ch" forName="parent_text_2" refType="h" fact="0.7243"/>
              <dgm:constr type="w" for="ch" forName="parent_text_2" refType="w" fact="0.3478"/>
              <dgm:constr type="h" for="ch" forName="parent_text_2" refType="h" fact="0.1631"/>
              <dgm:constr type="l" for="ch" forName="parent_text_4" refType="w" fact="0.5878"/>
              <dgm:constr type="t" for="ch" forName="parent_text_4" refType="h" fact="0.2513"/>
              <dgm:constr type="w" for="ch" forName="parent_text_4" refType="w" fact="0.3478"/>
              <dgm:constr type="h" for="ch" forName="parent_text_4" refType="h" fact="0.1467"/>
              <dgm:constr type="l" for="ch" forName="accent_2" refType="w" fact="0.6265"/>
              <dgm:constr type="t" for="ch" forName="accent_2" refType="h" fact="0.0194"/>
              <dgm:constr type="w" for="ch" forName="accent_2" refType="w" fact="0.0515"/>
              <dgm:constr type="h" for="ch" forName="accent_2" refType="h" fact="0.0777"/>
              <dgm:constr type="l" for="ch" forName="accent_3" refType="w" fact="0.7038"/>
              <dgm:constr type="t" for="ch" forName="accent_3" refType="h" fact="0"/>
              <dgm:constr type="w" for="ch" forName="accent_3" refType="w" fact="0.0258"/>
              <dgm:constr type="h" for="ch" forName="accent_3" refType="h" fact="0.0388"/>
              <dgm:constr type="l" for="ch" forName="parent_text_5" refType="w" fact="0.6522"/>
              <dgm:constr type="t" for="ch" forName="parent_text_5" refType="h" fact="0.0953"/>
              <dgm:constr type="w" for="ch" forName="parent_text_5" refType="w" fact="0.3478"/>
              <dgm:constr type="h" for="ch" forName="parent_text_5" refType="h" fact="0.1359"/>
              <dgm:constr type="l" for="ch" forName="accent_4" refType="w" fact="0.6136"/>
              <dgm:constr type="t" for="ch" forName="accent_4" refType="h" fact="0.8932"/>
              <dgm:constr type="w" for="ch" forName="accent_4" refType="w" fact="0.0386"/>
              <dgm:constr type="h" for="ch" forName="accent_4" refType="h" fact="0.0583"/>
            </dgm:constrLst>
          </dgm:if>
          <dgm:else name="Name21">
            <dgm:constrLst>
              <dgm:constr type="primFontSz" for="des" ptType="node" op="equ" val="65"/>
              <dgm:constr type="l" for="ch" forName="image_accent_5" refType="w" fact="0.3677"/>
              <dgm:constr type="t" for="ch" forName="image_accent_5" refType="h" fact="0.0862"/>
              <dgm:constr type="w" for="ch" forName="image_accent_5" refType="w" fact="0.1022"/>
              <dgm:constr type="h" for="ch" forName="image_accent_5" refType="h" fact="0.1541"/>
              <dgm:constr type="l" for="ch" forName="image_5" refType="w" fact="0.3738"/>
              <dgm:constr type="t" for="ch" forName="image_5" refType="h" fact="0.0953"/>
              <dgm:constr type="w" for="ch" forName="image_5" refType="w" fact="0.0902"/>
              <dgm:constr type="h" for="ch" forName="image_5" refType="h" fact="0.1359"/>
              <dgm:constr type="l" for="ch" forName="image_accent_4" refType="w" fact="0.437"/>
              <dgm:constr type="t" for="ch" forName="image_accent_4" refType="h" fact="0.2416"/>
              <dgm:constr type="w" for="ch" forName="image_accent_4" refType="w" fact="0.1103"/>
              <dgm:constr type="h" for="ch" forName="image_accent_4" refType="h" fact="0.1662"/>
              <dgm:constr type="l" for="ch" forName="image_4" refType="w" fact="0.4434"/>
              <dgm:constr type="t" for="ch" forName="image_4" refType="h" fact="0.2513"/>
              <dgm:constr type="w" for="ch" forName="image_4" refType="w" fact="0.0973"/>
              <dgm:constr type="h" for="ch" forName="image_4" refType="h" fact="0.1467"/>
              <dgm:constr type="l" for="ch" forName="image_accent_2" refType="w" fact="0.3942"/>
              <dgm:constr type="t" for="ch" forName="image_accent_2" refType="h" fact="0.7134"/>
              <dgm:constr type="w" for="ch" forName="image_accent_2" refType="w" fact="0.1226"/>
              <dgm:constr type="h" for="ch" forName="image_accent_2" refType="h" fact="0.1849"/>
              <dgm:constr type="l" for="ch" forName="image_2" refType="w" fact="0.4014"/>
              <dgm:constr type="t" for="ch" forName="image_2" refType="h" fact="0.7243"/>
              <dgm:constr type="w" for="ch" forName="image_2" refType="w" fact="0.1082"/>
              <dgm:constr type="h" for="ch" forName="image_2" refType="h" fact="0.1631"/>
              <dgm:constr type="l" for="ch" forName="image_accent_3" refType="w" fact="0.4075"/>
              <dgm:constr type="t" for="ch" forName="image_accent_3" refType="h" fact="0.4525"/>
              <dgm:constr type="w" for="ch" forName="image_accent_3" refType="w" fact="0.1573"/>
              <dgm:constr type="h" for="ch" forName="image_accent_3" refType="h" fact="0.2371"/>
              <dgm:constr type="l" for="ch" forName="image_3" refType="w" fact="0.4158"/>
              <dgm:constr type="t" for="ch" forName="image_3" refType="h" fact="0.465"/>
              <dgm:constr type="w" for="ch" forName="image_3" refType="w" fact="0.1407"/>
              <dgm:constr type="h" for="ch" forName="image_3" refType="h" fact="0.212"/>
              <dgm:constr type="l" for="ch" forName="image_accent_1" refType="w" fact="0.5338"/>
              <dgm:constr type="t" for="ch" forName="image_accent_1" refType="h" fact="0.6466"/>
              <dgm:constr type="w" for="ch" forName="image_accent_1" refType="w" fact="0.2344"/>
              <dgm:constr type="h" for="ch" forName="image_accent_1" refType="h" fact="0.3534"/>
              <dgm:constr type="l" for="ch" forName="image_1" refType="w" fact="0.5428"/>
              <dgm:constr type="t" for="ch" forName="image_1" refType="h" fact="0.6602"/>
              <dgm:constr type="w" for="ch" forName="image_1" refType="w" fact="0.2164"/>
              <dgm:constr type="h" for="ch" forName="image_1" refType="h" fact="0.3262"/>
              <dgm:constr type="l" for="ch" forName="parent_text_1" refType="w" fact="0.6522"/>
              <dgm:constr type="t" for="ch" forName="parent_text_1" refType="h" fact="0.465"/>
              <dgm:constr type="w" for="ch" forName="parent_text_1" refType="w" fact="0.3478"/>
              <dgm:constr type="h" for="ch" forName="parent_text_1" refType="h" fact="0.165"/>
              <dgm:constr type="l" for="ch" forName="accent_1" refType="w" fact="0.5492"/>
              <dgm:constr type="t" for="ch" forName="accent_1" refType="h" fact="0.3864"/>
              <dgm:constr type="w" for="ch" forName="accent_1" refType="w" fact="0.0696"/>
              <dgm:constr type="h" for="ch" forName="accent_1" refType="h" fact="0.1049"/>
              <dgm:constr type="l" for="ch" forName="parent_text_3" refType="w" fact="0.034"/>
              <dgm:constr type="t" for="ch" forName="parent_text_3" refType="h" fact="0.465"/>
              <dgm:constr type="w" for="ch" forName="parent_text_3" refType="w" fact="0.3478"/>
              <dgm:constr type="h" for="ch" forName="parent_text_3" refType="h" fact="0.212"/>
              <dgm:constr type="l" for="ch" forName="parent_text_2" refType="w" fact="0.0211"/>
              <dgm:constr type="t" for="ch" forName="parent_text_2" refType="h" fact="0.7243"/>
              <dgm:constr type="w" for="ch" forName="parent_text_2" refType="w" fact="0.3478"/>
              <dgm:constr type="h" for="ch" forName="parent_text_2" refType="h" fact="0.1631"/>
              <dgm:constr type="l" for="ch" forName="parent_text_4" refType="w" fact="0.0644"/>
              <dgm:constr type="t" for="ch" forName="parent_text_4" refType="h" fact="0.2513"/>
              <dgm:constr type="w" for="ch" forName="parent_text_4" refType="w" fact="0.3478"/>
              <dgm:constr type="h" for="ch" forName="parent_text_4" refType="h" fact="0.1467"/>
              <dgm:constr type="l" for="ch" forName="accent_2" refType="w" fact="0.322"/>
              <dgm:constr type="t" for="ch" forName="accent_2" refType="h" fact="0.0194"/>
              <dgm:constr type="w" for="ch" forName="accent_2" refType="w" fact="0.0515"/>
              <dgm:constr type="h" for="ch" forName="accent_2" refType="h" fact="0.0777"/>
              <dgm:constr type="l" for="ch" forName="accent_3" refType="w" fact="0.2705"/>
              <dgm:constr type="t" for="ch" forName="accent_3" refType="h" fact="0"/>
              <dgm:constr type="w" for="ch" forName="accent_3" refType="w" fact="0.0258"/>
              <dgm:constr type="h" for="ch" forName="accent_3" refType="h" fact="0.0388"/>
              <dgm:constr type="l" for="ch" forName="parent_text_5" refType="w" fact="0"/>
              <dgm:constr type="t" for="ch" forName="parent_text_5" refType="h" fact="0.0953"/>
              <dgm:constr type="w" for="ch" forName="parent_text_5" refType="w" fact="0.3478"/>
              <dgm:constr type="h" for="ch" forName="parent_text_5" refType="h" fact="0.1359"/>
              <dgm:constr type="l" for="ch" forName="accent_4" refType="w" fact="0.3478"/>
              <dgm:constr type="t" for="ch" forName="accent_4" refType="h" fact="0.8932"/>
              <dgm:constr type="w" for="ch" forName="accent_4" refType="w" fact="0.0386"/>
              <dgm:constr type="h" for="ch" forName="accent_4" refType="h" fact="0.0583"/>
            </dgm:constrLst>
          </dgm:else>
        </dgm:choose>
      </dgm:if>
      <dgm:if name="Name22" axis="ch" ptType="node" func="cnt" op="equ" val="6">
        <dgm:alg type="composite">
          <dgm:param type="ar" val="1.1351"/>
        </dgm:alg>
        <dgm:choose name="Name23">
          <dgm:if name="Name24" func="var" arg="dir" op="equ" val="norm">
            <dgm:constrLst>
              <dgm:constr type="primFontSz" for="des" ptType="node" op="equ" val="65"/>
              <dgm:constr type="l" for="ch" forName="image_accent_6" refType="w" fact="0.3864"/>
              <dgm:constr type="t" for="ch" forName="image_accent_6" refType="h" fact="0.7456"/>
              <dgm:constr type="w" for="ch" forName="image_accent_6" refType="w" fact="0.1757"/>
              <dgm:constr type="h" for="ch" forName="image_accent_6" refType="h" fact="0.1995"/>
              <dgm:constr type="l" for="ch" forName="image_6" refType="w" fact="0.3957"/>
              <dgm:constr type="t" for="ch" forName="image_6" refType="h" fact="0.7561"/>
              <dgm:constr type="w" for="ch" forName="image_6" refType="w" fact="0.1572"/>
              <dgm:constr type="h" for="ch" forName="image_6" refType="h" fact="0.1784"/>
              <dgm:constr type="l" for="ch" forName="image_accent_5" refType="w" fact="0.5301"/>
              <dgm:constr type="t" for="ch" forName="image_accent_5" refType="h" fact="0.0649"/>
              <dgm:constr type="w" for="ch" forName="image_accent_5" refType="w" fact="0.1022"/>
              <dgm:constr type="h" for="ch" forName="image_accent_5" refType="h" fact="0.116"/>
              <dgm:constr type="l" for="ch" forName="image_5" refType="w" fact="0.5361"/>
              <dgm:constr type="t" for="ch" forName="image_5" refType="h" fact="0.0717"/>
              <dgm:constr type="w" for="ch" forName="image_5" refType="w" fact="0.0902"/>
              <dgm:constr type="h" for="ch" forName="image_5" refType="h" fact="0.1023"/>
              <dgm:constr type="l" for="ch" forName="image_accent_4" refType="w" fact="0.4528"/>
              <dgm:constr type="t" for="ch" forName="image_accent_4" refType="h" fact="0.1819"/>
              <dgm:constr type="w" for="ch" forName="image_accent_4" refType="w" fact="0.1103"/>
              <dgm:constr type="h" for="ch" forName="image_accent_4" refType="h" fact="0.1251"/>
              <dgm:constr type="l" for="ch" forName="image_4" refType="w" fact="0.4593"/>
              <dgm:constr type="t" for="ch" forName="image_4" refType="h" fact="0.1892"/>
              <dgm:constr type="w" for="ch" forName="image_4" refType="w" fact="0.0973"/>
              <dgm:constr type="h" for="ch" forName="image_4" refType="h" fact="0.1104"/>
              <dgm:constr type="l" for="ch" forName="image_accent_2" refType="w" fact="0.4832"/>
              <dgm:constr type="t" for="ch" forName="image_accent_2" refType="h" fact="0.5371"/>
              <dgm:constr type="w" for="ch" forName="image_accent_2" refType="w" fact="0.1226"/>
              <dgm:constr type="h" for="ch" forName="image_accent_2" refType="h" fact="0.1392"/>
              <dgm:constr type="l" for="ch" forName="image_2" refType="w" fact="0.4904"/>
              <dgm:constr type="t" for="ch" forName="image_2" refType="h" fact="0.5453"/>
              <dgm:constr type="w" for="ch" forName="image_2" refType="w" fact="0.1082"/>
              <dgm:constr type="h" for="ch" forName="image_2" refType="h" fact="0.1228"/>
              <dgm:constr type="l" for="ch" forName="image_accent_3" refType="w" fact="0.4352"/>
              <dgm:constr type="t" for="ch" forName="image_accent_3" refType="h" fact="0.3407"/>
              <dgm:constr type="w" for="ch" forName="image_accent_3" refType="w" fact="0.1573"/>
              <dgm:constr type="h" for="ch" forName="image_accent_3" refType="h" fact="0.1785"/>
              <dgm:constr type="l" for="ch" forName="image_3" refType="w" fact="0.4435"/>
              <dgm:constr type="t" for="ch" forName="image_3" refType="h" fact="0.3501"/>
              <dgm:constr type="w" for="ch" forName="image_3" refType="w" fact="0.1407"/>
              <dgm:constr type="h" for="ch" forName="image_3" refType="h" fact="0.1596"/>
              <dgm:constr type="l" for="ch" forName="image_accent_1" refType="w" fact="0.2318"/>
              <dgm:constr type="t" for="ch" forName="image_accent_1" refType="h" fact="0.4869"/>
              <dgm:constr type="w" for="ch" forName="image_accent_1" refType="w" fact="0.2344"/>
              <dgm:constr type="h" for="ch" forName="image_accent_1" refType="h" fact="0.2661"/>
              <dgm:constr type="l" for="ch" forName="image_1" refType="w" fact="0.2401"/>
              <dgm:constr type="t" for="ch" forName="image_1" refType="h" fact="0.4971"/>
              <dgm:constr type="w" for="ch" forName="image_1" refType="w" fact="0.2164"/>
              <dgm:constr type="h" for="ch" forName="image_1" refType="h" fact="0.2456"/>
              <dgm:constr type="l" for="ch" forName="parent_text_1" refType="w" fact="0"/>
              <dgm:constr type="t" for="ch" forName="parent_text_1" refType="h" fact="0.3501"/>
              <dgm:constr type="w" for="ch" forName="parent_text_1" refType="w" fact="0.3478"/>
              <dgm:constr type="h" for="ch" forName="parent_text_1" refType="h" fact="0.125"/>
              <dgm:constr type="l" for="ch" forName="accent_1" refType="w" fact="0.3813"/>
              <dgm:constr type="t" for="ch" forName="accent_1" refType="h" fact="0.2909"/>
              <dgm:constr type="w" for="ch" forName="accent_1" refType="w" fact="0.0696"/>
              <dgm:constr type="h" for="ch" forName="accent_1" refType="h" fact="0.0789"/>
              <dgm:constr type="l" for="ch" forName="parent_text_2" refType="w" fact="0.6311"/>
              <dgm:constr type="t" for="ch" forName="parent_text_2" refType="h" fact="0.5453"/>
              <dgm:constr type="w" for="ch" forName="parent_text_2" refType="w" fact="0.3478"/>
              <dgm:constr type="h" for="ch" forName="parent_text_2" refType="h" fact="0.1228"/>
              <dgm:constr type="l" for="ch" forName="parent_text_4" refType="w" fact="0.5878"/>
              <dgm:constr type="t" for="ch" forName="parent_text_4" refType="h" fact="0.1892"/>
              <dgm:constr type="w" for="ch" forName="parent_text_4" refType="w" fact="0.3478"/>
              <dgm:constr type="h" for="ch" forName="parent_text_4" refType="h" fact="0.1104"/>
              <dgm:constr type="l" for="ch" forName="accent_2" refType="w" fact="0.6265"/>
              <dgm:constr type="t" for="ch" forName="accent_2" refType="h" fact="0.0146"/>
              <dgm:constr type="w" for="ch" forName="accent_2" refType="w" fact="0.0515"/>
              <dgm:constr type="h" for="ch" forName="accent_2" refType="h" fact="0.0585"/>
              <dgm:constr type="l" for="ch" forName="accent_3" refType="w" fact="0.7038"/>
              <dgm:constr type="t" for="ch" forName="accent_3" refType="h" fact="0"/>
              <dgm:constr type="w" for="ch" forName="accent_3" refType="w" fact="0.0258"/>
              <dgm:constr type="h" for="ch" forName="accent_3" refType="h" fact="0.0292"/>
              <dgm:constr type="l" for="ch" forName="parent_text_5" refType="w" fact="0.6522"/>
              <dgm:constr type="t" for="ch" forName="parent_text_5" refType="h" fact="0.0717"/>
              <dgm:constr type="w" for="ch" forName="parent_text_5" refType="w" fact="0.3478"/>
              <dgm:constr type="h" for="ch" forName="parent_text_5" refType="h" fact="0.1023"/>
              <dgm:constr type="l" for="ch" forName="parent_text_3" refType="w" fact="0.6182"/>
              <dgm:constr type="t" for="ch" forName="parent_text_3" refType="h" fact="0.3501"/>
              <dgm:constr type="w" for="ch" forName="parent_text_3" refType="w" fact="0.3478"/>
              <dgm:constr type="h" for="ch" forName="parent_text_3" refType="h" fact="0.1596"/>
              <dgm:constr type="l" for="ch" forName="accent_4" refType="w" fact="0.5538"/>
              <dgm:constr type="t" for="ch" forName="accent_4" refType="h" fact="0.9211"/>
              <dgm:constr type="w" for="ch" forName="accent_4" refType="w" fact="0.0696"/>
              <dgm:constr type="h" for="ch" forName="accent_4" refType="h" fact="0.0789"/>
              <dgm:constr type="l" for="ch" forName="parent_text_6" refType="w" fact="0.0195"/>
              <dgm:constr type="t" for="ch" forName="parent_text_6" refType="h" fact="0.7561"/>
              <dgm:constr type="w" for="ch" forName="parent_text_6" refType="w" fact="0.3478"/>
              <dgm:constr type="h" for="ch" forName="parent_text_6" refType="h" fact="0.1784"/>
              <dgm:constr type="l" for="ch" forName="accent_5" refType="w" fact="0.6182"/>
              <dgm:constr type="t" for="ch" forName="accent_5" refType="h" fact="0.6725"/>
              <dgm:constr type="w" for="ch" forName="accent_5" refType="w" fact="0.0386"/>
              <dgm:constr type="h" for="ch" forName="accent_5" refType="h" fact="0.0439"/>
            </dgm:constrLst>
          </dgm:if>
          <dgm:else name="Name25">
            <dgm:constrLst>
              <dgm:constr type="primFontSz" for="des" ptType="node" op="equ" val="65"/>
              <dgm:constr type="l" for="ch" forName="image_accent_6" refType="w" fact="0.4379"/>
              <dgm:constr type="t" for="ch" forName="image_accent_6" refType="h" fact="0.7456"/>
              <dgm:constr type="w" for="ch" forName="image_accent_6" refType="w" fact="0.1757"/>
              <dgm:constr type="h" for="ch" forName="image_accent_6" refType="h" fact="0.1995"/>
              <dgm:constr type="l" for="ch" forName="image_6" refType="w" fact="0.4471"/>
              <dgm:constr type="t" for="ch" forName="image_6" refType="h" fact="0.7561"/>
              <dgm:constr type="w" for="ch" forName="image_6" refType="w" fact="0.1572"/>
              <dgm:constr type="h" for="ch" forName="image_6" refType="h" fact="0.1784"/>
              <dgm:constr type="l" for="ch" forName="image_accent_5" refType="w" fact="0.3677"/>
              <dgm:constr type="t" for="ch" forName="image_accent_5" refType="h" fact="0.0649"/>
              <dgm:constr type="w" for="ch" forName="image_accent_5" refType="w" fact="0.1022"/>
              <dgm:constr type="h" for="ch" forName="image_accent_5" refType="h" fact="0.116"/>
              <dgm:constr type="l" for="ch" forName="image_5" refType="w" fact="0.3738"/>
              <dgm:constr type="t" for="ch" forName="image_5" refType="h" fact="0.0717"/>
              <dgm:constr type="w" for="ch" forName="image_5" refType="w" fact="0.0902"/>
              <dgm:constr type="h" for="ch" forName="image_5" refType="h" fact="0.1023"/>
              <dgm:constr type="l" for="ch" forName="image_accent_4" refType="w" fact="0.437"/>
              <dgm:constr type="t" for="ch" forName="image_accent_4" refType="h" fact="0.1819"/>
              <dgm:constr type="w" for="ch" forName="image_accent_4" refType="w" fact="0.1103"/>
              <dgm:constr type="h" for="ch" forName="image_accent_4" refType="h" fact="0.1251"/>
              <dgm:constr type="l" for="ch" forName="image_4" refType="w" fact="0.4434"/>
              <dgm:constr type="t" for="ch" forName="image_4" refType="h" fact="0.1892"/>
              <dgm:constr type="w" for="ch" forName="image_4" refType="w" fact="0.0973"/>
              <dgm:constr type="h" for="ch" forName="image_4" refType="h" fact="0.1104"/>
              <dgm:constr type="l" for="ch" forName="image_accent_2" refType="w" fact="0.3942"/>
              <dgm:constr type="t" for="ch" forName="image_accent_2" refType="h" fact="0.5371"/>
              <dgm:constr type="w" for="ch" forName="image_accent_2" refType="w" fact="0.1226"/>
              <dgm:constr type="h" for="ch" forName="image_accent_2" refType="h" fact="0.1392"/>
              <dgm:constr type="l" for="ch" forName="image_2" refType="w" fact="0.4014"/>
              <dgm:constr type="t" for="ch" forName="image_2" refType="h" fact="0.5453"/>
              <dgm:constr type="w" for="ch" forName="image_2" refType="w" fact="0.1082"/>
              <dgm:constr type="h" for="ch" forName="image_2" refType="h" fact="0.1228"/>
              <dgm:constr type="l" for="ch" forName="image_accent_3" refType="w" fact="0.4075"/>
              <dgm:constr type="t" for="ch" forName="image_accent_3" refType="h" fact="0.3407"/>
              <dgm:constr type="w" for="ch" forName="image_accent_3" refType="w" fact="0.1573"/>
              <dgm:constr type="h" for="ch" forName="image_accent_3" refType="h" fact="0.1785"/>
              <dgm:constr type="l" for="ch" forName="image_3" refType="w" fact="0.4158"/>
              <dgm:constr type="t" for="ch" forName="image_3" refType="h" fact="0.3501"/>
              <dgm:constr type="w" for="ch" forName="image_3" refType="w" fact="0.1407"/>
              <dgm:constr type="h" for="ch" forName="image_3" refType="h" fact="0.1596"/>
              <dgm:constr type="l" for="ch" forName="image_accent_1" refType="w" fact="0.5338"/>
              <dgm:constr type="t" for="ch" forName="image_accent_1" refType="h" fact="0.4869"/>
              <dgm:constr type="w" for="ch" forName="image_accent_1" refType="w" fact="0.2344"/>
              <dgm:constr type="h" for="ch" forName="image_accent_1" refType="h" fact="0.2661"/>
              <dgm:constr type="l" for="ch" forName="image_1" refType="w" fact="0.5435"/>
              <dgm:constr type="t" for="ch" forName="image_1" refType="h" fact="0.4971"/>
              <dgm:constr type="w" for="ch" forName="image_1" refType="w" fact="0.2164"/>
              <dgm:constr type="h" for="ch" forName="image_1" refType="h" fact="0.2456"/>
              <dgm:constr type="l" for="ch" forName="parent_text_1" refType="w" fact="0.6522"/>
              <dgm:constr type="t" for="ch" forName="parent_text_1" refType="h" fact="0.3501"/>
              <dgm:constr type="w" for="ch" forName="parent_text_1" refType="w" fact="0.3478"/>
              <dgm:constr type="h" for="ch" forName="parent_text_1" refType="h" fact="0.125"/>
              <dgm:constr type="l" for="ch" forName="accent_1" refType="w" fact="0.5492"/>
              <dgm:constr type="t" for="ch" forName="accent_1" refType="h" fact="0.2909"/>
              <dgm:constr type="w" for="ch" forName="accent_1" refType="w" fact="0.0696"/>
              <dgm:constr type="h" for="ch" forName="accent_1" refType="h" fact="0.0789"/>
              <dgm:constr type="l" for="ch" forName="parent_text_2" refType="w" fact="0.0211"/>
              <dgm:constr type="t" for="ch" forName="parent_text_2" refType="h" fact="0.5453"/>
              <dgm:constr type="w" for="ch" forName="parent_text_2" refType="w" fact="0.3478"/>
              <dgm:constr type="h" for="ch" forName="parent_text_2" refType="h" fact="0.1228"/>
              <dgm:constr type="l" for="ch" forName="parent_text_4" refType="w" fact="0.0644"/>
              <dgm:constr type="t" for="ch" forName="parent_text_4" refType="h" fact="0.1892"/>
              <dgm:constr type="w" for="ch" forName="parent_text_4" refType="w" fact="0.3478"/>
              <dgm:constr type="h" for="ch" forName="parent_text_4" refType="h" fact="0.1104"/>
              <dgm:constr type="l" for="ch" forName="accent_2" refType="w" fact="0.322"/>
              <dgm:constr type="t" for="ch" forName="accent_2" refType="h" fact="0.0146"/>
              <dgm:constr type="w" for="ch" forName="accent_2" refType="w" fact="0.0515"/>
              <dgm:constr type="h" for="ch" forName="accent_2" refType="h" fact="0.0585"/>
              <dgm:constr type="l" for="ch" forName="accent_3" refType="w" fact="0.2705"/>
              <dgm:constr type="t" for="ch" forName="accent_3" refType="h" fact="0"/>
              <dgm:constr type="w" for="ch" forName="accent_3" refType="w" fact="0.0258"/>
              <dgm:constr type="h" for="ch" forName="accent_3" refType="h" fact="0.0292"/>
              <dgm:constr type="l" for="ch" forName="parent_text_5" refType="w" fact="0"/>
              <dgm:constr type="t" for="ch" forName="parent_text_5" refType="h" fact="0.0717"/>
              <dgm:constr type="w" for="ch" forName="parent_text_5" refType="w" fact="0.3478"/>
              <dgm:constr type="h" for="ch" forName="parent_text_5" refType="h" fact="0.1023"/>
              <dgm:constr type="l" for="ch" forName="parent_text_3" refType="w" fact="0.034"/>
              <dgm:constr type="t" for="ch" forName="parent_text_3" refType="h" fact="0.3501"/>
              <dgm:constr type="w" for="ch" forName="parent_text_3" refType="w" fact="0.3478"/>
              <dgm:constr type="h" for="ch" forName="parent_text_3" refType="h" fact="0.1596"/>
              <dgm:constr type="l" for="ch" forName="accent_4" refType="w" fact="0.3766"/>
              <dgm:constr type="t" for="ch" forName="accent_4" refType="h" fact="0.9211"/>
              <dgm:constr type="w" for="ch" forName="accent_4" refType="w" fact="0.0696"/>
              <dgm:constr type="h" for="ch" forName="accent_4" refType="h" fact="0.0789"/>
              <dgm:constr type="l" for="ch" forName="parent_text_6" refType="w" fact="0.6328"/>
              <dgm:constr type="t" for="ch" forName="parent_text_6" refType="h" fact="0.7561"/>
              <dgm:constr type="w" for="ch" forName="parent_text_6" refType="w" fact="0.3478"/>
              <dgm:constr type="h" for="ch" forName="parent_text_6" refType="h" fact="0.1784"/>
              <dgm:constr type="l" for="ch" forName="accent_5" refType="w" fact="0.3431"/>
              <dgm:constr type="t" for="ch" forName="accent_5" refType="h" fact="0.6725"/>
              <dgm:constr type="w" for="ch" forName="accent_5" refType="w" fact="0.0386"/>
              <dgm:constr type="h" for="ch" forName="accent_5" refType="h" fact="0.0439"/>
            </dgm:constrLst>
          </dgm:else>
        </dgm:choose>
      </dgm:if>
      <dgm:if name="Name26" axis="ch" ptType="node" func="cnt" op="equ" val="7">
        <dgm:alg type="composite">
          <dgm:param type="ar" val="1.0352"/>
        </dgm:alg>
        <dgm:choose name="Name27">
          <dgm:if name="Name28" func="var" arg="dir" op="equ" val="norm">
            <dgm:constrLst>
              <dgm:constr type="primFontSz" for="des" ptType="node" op="equ" val="65"/>
              <dgm:constr type="l" for="ch" forName="accent_1" refType="w" fact="0.7553"/>
              <dgm:constr type="t" for="ch" forName="accent_1" refType="h" fact="0.96"/>
              <dgm:constr type="w" for="ch" forName="accent_1" refType="w" fact="0.0386"/>
              <dgm:constr type="h" for="ch" forName="accent_1" refType="h" fact="0.04"/>
              <dgm:constr type="l" for="ch" forName="image_accent_2" refType="w" fact="0.4832"/>
              <dgm:constr type="t" for="ch" forName="image_accent_2" refType="h" fact="0.4899"/>
              <dgm:constr type="w" for="ch" forName="image_accent_2" refType="w" fact="0.1226"/>
              <dgm:constr type="h" for="ch" forName="image_accent_2" refType="h" fact="0.1269"/>
              <dgm:constr type="l" for="ch" forName="image_2" refType="w" fact="0.4904"/>
              <dgm:constr type="t" for="ch" forName="image_2" refType="h" fact="0.4973"/>
              <dgm:constr type="w" for="ch" forName="image_2" refType="w" fact="0.1082"/>
              <dgm:constr type="h" for="ch" forName="image_2" refType="h" fact="0.112"/>
              <dgm:constr type="l" for="ch" forName="image_accent_3" refType="w" fact="0.4352"/>
              <dgm:constr type="t" for="ch" forName="image_accent_3" refType="h" fact="0.3107"/>
              <dgm:constr type="w" for="ch" forName="image_accent_3" refType="w" fact="0.1573"/>
              <dgm:constr type="h" for="ch" forName="image_accent_3" refType="h" fact="0.1628"/>
              <dgm:constr type="l" for="ch" forName="image_3" refType="w" fact="0.4435"/>
              <dgm:constr type="t" for="ch" forName="image_3" refType="h" fact="0.3193"/>
              <dgm:constr type="w" for="ch" forName="image_3" refType="w" fact="0.1407"/>
              <dgm:constr type="h" for="ch" forName="image_3" refType="h" fact="0.1456"/>
              <dgm:constr type="l" for="ch" forName="image_accent_4" refType="w" fact="0.4528"/>
              <dgm:constr type="t" for="ch" forName="image_accent_4" refType="h" fact="0.1659"/>
              <dgm:constr type="w" for="ch" forName="image_accent_4" refType="w" fact="0.1103"/>
              <dgm:constr type="h" for="ch" forName="image_accent_4" refType="h" fact="0.1141"/>
              <dgm:constr type="l" for="ch" forName="image_4" refType="w" fact="0.4593"/>
              <dgm:constr type="t" for="ch" forName="image_4" refType="h" fact="0.1726"/>
              <dgm:constr type="w" for="ch" forName="image_4" refType="w" fact="0.0973"/>
              <dgm:constr type="h" for="ch" forName="image_4" refType="h" fact="0.1007"/>
              <dgm:constr type="l" for="ch" forName="image_accent_5" refType="w" fact="0.5301"/>
              <dgm:constr type="t" for="ch" forName="image_accent_5" refType="h" fact="0.0592"/>
              <dgm:constr type="w" for="ch" forName="image_accent_5" refType="w" fact="0.1022"/>
              <dgm:constr type="h" for="ch" forName="image_accent_5" refType="h" fact="0.1058"/>
              <dgm:constr type="l" for="ch" forName="image_5" refType="w" fact="0.5361"/>
              <dgm:constr type="t" for="ch" forName="image_5" refType="h" fact="0.0654"/>
              <dgm:constr type="w" for="ch" forName="image_5" refType="w" fact="0.0902"/>
              <dgm:constr type="h" for="ch" forName="image_5" refType="h" fact="0.0933"/>
              <dgm:constr type="l" for="ch" forName="image_accent_6" refType="w" fact="0.3864"/>
              <dgm:constr type="t" for="ch" forName="image_accent_6" refType="h" fact="0.68"/>
              <dgm:constr type="w" for="ch" forName="image_accent_6" refType="w" fact="0.1757"/>
              <dgm:constr type="h" for="ch" forName="image_accent_6" refType="h" fact="0.1819"/>
              <dgm:constr type="l" for="ch" forName="image_6" refType="w" fact="0.3957"/>
              <dgm:constr type="t" for="ch" forName="image_6" refType="h" fact="0.6896"/>
              <dgm:constr type="w" for="ch" forName="image_6" refType="w" fact="0.1572"/>
              <dgm:constr type="h" for="ch" forName="image_6" refType="h" fact="0.1627"/>
              <dgm:constr type="l" for="ch" forName="image_accent_7" refType="w" fact="0.5291"/>
              <dgm:constr type="t" for="ch" forName="image_accent_7" refType="h" fact="0.8325"/>
              <dgm:constr type="w" for="ch" forName="image_accent_7" refType="w" fact="0.1103"/>
              <dgm:constr type="h" for="ch" forName="image_accent_7" refType="h" fact="0.1141"/>
              <dgm:constr type="l" for="ch" forName="image_7" refType="w" fact="0.5356"/>
              <dgm:constr type="t" for="ch" forName="image_7" refType="h" fact="0.8392"/>
              <dgm:constr type="w" for="ch" forName="image_7" refType="w" fact="0.0973"/>
              <dgm:constr type="h" for="ch" forName="image_7" refType="h" fact="0.1007"/>
              <dgm:constr type="l" for="ch" forName="image_accent_1" refType="w" fact="0.2318"/>
              <dgm:constr type="t" for="ch" forName="image_accent_1" refType="h" fact="0.444"/>
              <dgm:constr type="w" for="ch" forName="image_accent_1" refType="w" fact="0.2344"/>
              <dgm:constr type="h" for="ch" forName="image_accent_1" refType="h" fact="0.2426"/>
              <dgm:constr type="l" for="ch" forName="image_1" refType="w" fact="0.2408"/>
              <dgm:constr type="t" for="ch" forName="image_1" refType="h" fact="0.4533"/>
              <dgm:constr type="w" for="ch" forName="image_1" refType="w" fact="0.2164"/>
              <dgm:constr type="h" for="ch" forName="image_1" refType="h" fact="0.224"/>
              <dgm:constr type="l" for="ch" forName="parent_text_1" refType="w" fact="0"/>
              <dgm:constr type="t" for="ch" forName="parent_text_1" refType="h" fact="0.3193"/>
              <dgm:constr type="w" for="ch" forName="parent_text_1" refType="w" fact="0.3478"/>
              <dgm:constr type="h" for="ch" forName="parent_text_1" refType="h" fact="0.115"/>
              <dgm:constr type="l" for="ch" forName="accent_2" refType="w" fact="0.3813"/>
              <dgm:constr type="t" for="ch" forName="accent_2" refType="h" fact="0.2653"/>
              <dgm:constr type="w" for="ch" forName="accent_2" refType="w" fact="0.0696"/>
              <dgm:constr type="h" for="ch" forName="accent_2" refType="h" fact="0.072"/>
              <dgm:constr type="l" for="ch" forName="parent_text_2" refType="w" fact="0.6311"/>
              <dgm:constr type="t" for="ch" forName="parent_text_2" refType="h" fact="0.4973"/>
              <dgm:constr type="w" for="ch" forName="parent_text_2" refType="w" fact="0.3478"/>
              <dgm:constr type="h" for="ch" forName="parent_text_2" refType="h" fact="0.112"/>
              <dgm:constr type="l" for="ch" forName="parent_text_4" refType="w" fact="0.5878"/>
              <dgm:constr type="t" for="ch" forName="parent_text_4" refType="h" fact="0.1726"/>
              <dgm:constr type="w" for="ch" forName="parent_text_4" refType="w" fact="0.3478"/>
              <dgm:constr type="h" for="ch" forName="parent_text_4" refType="h" fact="0.1007"/>
              <dgm:constr type="l" for="ch" forName="accent_3" refType="w" fact="0.7038"/>
              <dgm:constr type="t" for="ch" forName="accent_3" refType="h" fact="0"/>
              <dgm:constr type="w" for="ch" forName="accent_3" refType="w" fact="0.0258"/>
              <dgm:constr type="h" for="ch" forName="accent_3" refType="h" fact="0.0267"/>
              <dgm:constr type="l" for="ch" forName="parent_text_5" refType="w" fact="0.6522"/>
              <dgm:constr type="t" for="ch" forName="parent_text_5" refType="h" fact="0.0654"/>
              <dgm:constr type="w" for="ch" forName="parent_text_5" refType="w" fact="0.3478"/>
              <dgm:constr type="h" for="ch" forName="parent_text_5" refType="h" fact="0.0933"/>
              <dgm:constr type="l" for="ch" forName="parent_text_3" refType="w" fact="0.6182"/>
              <dgm:constr type="t" for="ch" forName="parent_text_3" refType="h" fact="0.3193"/>
              <dgm:constr type="w" for="ch" forName="parent_text_3" refType="w" fact="0.3478"/>
              <dgm:constr type="h" for="ch" forName="parent_text_3" refType="h" fact="0.1456"/>
              <dgm:constr type="l" for="ch" forName="parent_text_6" refType="w" fact="0.02"/>
              <dgm:constr type="t" for="ch" forName="parent_text_6" refType="h" fact="0.6896"/>
              <dgm:constr type="w" for="ch" forName="parent_text_6" refType="w" fact="0.3478"/>
              <dgm:constr type="h" for="ch" forName="parent_text_6" refType="h" fact="0.1627"/>
              <dgm:constr type="l" for="ch" forName="accent_4" refType="w" fact="0.6265"/>
              <dgm:constr type="t" for="ch" forName="accent_4" refType="h" fact="0.0213"/>
              <dgm:constr type="w" for="ch" forName="accent_4" refType="w" fact="0.0515"/>
              <dgm:constr type="h" for="ch" forName="accent_4" refType="h" fact="0.0533"/>
              <dgm:constr type="l" for="ch" forName="accent_5" refType="w" fact="0.6522"/>
              <dgm:constr type="t" for="ch" forName="accent_5" refType="h" fact="0.92"/>
              <dgm:constr type="w" for="ch" forName="accent_5" refType="w" fact="0.0696"/>
              <dgm:constr type="h" for="ch" forName="accent_5" refType="h" fact="0.072"/>
              <dgm:constr type="l" for="ch" forName="parent_text_7" refType="w" fact="0.105"/>
              <dgm:constr type="t" for="ch" forName="parent_text_7" refType="h" fact="0.87"/>
              <dgm:constr type="w" for="ch" forName="parent_text_7" refType="w" fact="0.407"/>
              <dgm:constr type="h" for="ch" forName="parent_text_7" refType="h" fact="0.13"/>
              <dgm:constr type="l" for="ch" forName="accent_6" refType="w" fact="0.6136"/>
              <dgm:constr type="t" for="ch" forName="accent_6" refType="h" fact="0.6133"/>
              <dgm:constr type="w" for="ch" forName="accent_6" refType="w" fact="0.0386"/>
              <dgm:constr type="h" for="ch" forName="accent_6" refType="h" fact="0.04"/>
            </dgm:constrLst>
          </dgm:if>
          <dgm:else name="Name29">
            <dgm:constrLst>
              <dgm:constr type="primFontSz" for="des" ptType="node" op="equ" val="65"/>
              <dgm:constr type="l" for="ch" forName="accent_1" refType="w" fact="0.2061"/>
              <dgm:constr type="t" for="ch" forName="accent_1" refType="h" fact="0.96"/>
              <dgm:constr type="w" for="ch" forName="accent_1" refType="w" fact="0.0386"/>
              <dgm:constr type="h" for="ch" forName="accent_1" refType="h" fact="0.04"/>
              <dgm:constr type="l" for="ch" forName="image_accent_7" refType="w" fact="0.3606"/>
              <dgm:constr type="t" for="ch" forName="image_accent_7" refType="h" fact="0.8325"/>
              <dgm:constr type="w" for="ch" forName="image_accent_7" refType="w" fact="0.1103"/>
              <dgm:constr type="h" for="ch" forName="image_accent_7" refType="h" fact="0.1141"/>
              <dgm:constr type="l" for="ch" forName="image_7" refType="w" fact="0.3671"/>
              <dgm:constr type="t" for="ch" forName="image_7" refType="h" fact="0.8392"/>
              <dgm:constr type="w" for="ch" forName="image_7" refType="w" fact="0.0973"/>
              <dgm:constr type="h" for="ch" forName="image_7" refType="h" fact="0.1007"/>
              <dgm:constr type="l" for="ch" forName="image_accent_6" refType="w" fact="0.4379"/>
              <dgm:constr type="t" for="ch" forName="image_accent_6" refType="h" fact="0.68"/>
              <dgm:constr type="w" for="ch" forName="image_accent_6" refType="w" fact="0.1757"/>
              <dgm:constr type="h" for="ch" forName="image_accent_6" refType="h" fact="0.1819"/>
              <dgm:constr type="l" for="ch" forName="image_6" refType="w" fact="0.4471"/>
              <dgm:constr type="t" for="ch" forName="image_6" refType="h" fact="0.6896"/>
              <dgm:constr type="w" for="ch" forName="image_6" refType="w" fact="0.1572"/>
              <dgm:constr type="h" for="ch" forName="image_6" refType="h" fact="0.1627"/>
              <dgm:constr type="l" for="ch" forName="image_accent_5" refType="w" fact="0.3677"/>
              <dgm:constr type="t" for="ch" forName="image_accent_5" refType="h" fact="0.0592"/>
              <dgm:constr type="w" for="ch" forName="image_accent_5" refType="w" fact="0.1022"/>
              <dgm:constr type="h" for="ch" forName="image_accent_5" refType="h" fact="0.1058"/>
              <dgm:constr type="l" for="ch" forName="image_5" refType="w" fact="0.3738"/>
              <dgm:constr type="t" for="ch" forName="image_5" refType="h" fact="0.0654"/>
              <dgm:constr type="w" for="ch" forName="image_5" refType="w" fact="0.0902"/>
              <dgm:constr type="h" for="ch" forName="image_5" refType="h" fact="0.0933"/>
              <dgm:constr type="l" for="ch" forName="image_accent_4" refType="w" fact="0.437"/>
              <dgm:constr type="t" for="ch" forName="image_accent_4" refType="h" fact="0.1659"/>
              <dgm:constr type="w" for="ch" forName="image_accent_4" refType="w" fact="0.1103"/>
              <dgm:constr type="h" for="ch" forName="image_accent_4" refType="h" fact="0.1141"/>
              <dgm:constr type="l" for="ch" forName="image_4" refType="w" fact="0.4434"/>
              <dgm:constr type="t" for="ch" forName="image_4" refType="h" fact="0.1726"/>
              <dgm:constr type="w" for="ch" forName="image_4" refType="w" fact="0.0973"/>
              <dgm:constr type="h" for="ch" forName="image_4" refType="h" fact="0.1007"/>
              <dgm:constr type="l" for="ch" forName="image_accent_2" refType="w" fact="0.3942"/>
              <dgm:constr type="t" for="ch" forName="image_accent_2" refType="h" fact="0.4899"/>
              <dgm:constr type="w" for="ch" forName="image_accent_2" refType="w" fact="0.1226"/>
              <dgm:constr type="h" for="ch" forName="image_accent_2" refType="h" fact="0.1269"/>
              <dgm:constr type="l" for="ch" forName="image_2" refType="w" fact="0.4014"/>
              <dgm:constr type="t" for="ch" forName="image_2" refType="h" fact="0.4973"/>
              <dgm:constr type="w" for="ch" forName="image_2" refType="w" fact="0.1082"/>
              <dgm:constr type="h" for="ch" forName="image_2" refType="h" fact="0.112"/>
              <dgm:constr type="l" for="ch" forName="image_accent_3" refType="w" fact="0.4075"/>
              <dgm:constr type="t" for="ch" forName="image_accent_3" refType="h" fact="0.3107"/>
              <dgm:constr type="w" for="ch" forName="image_accent_3" refType="w" fact="0.1573"/>
              <dgm:constr type="h" for="ch" forName="image_accent_3" refType="h" fact="0.1628"/>
              <dgm:constr type="l" for="ch" forName="image_3" refType="w" fact="0.4158"/>
              <dgm:constr type="t" for="ch" forName="image_3" refType="h" fact="0.3193"/>
              <dgm:constr type="w" for="ch" forName="image_3" refType="w" fact="0.1407"/>
              <dgm:constr type="h" for="ch" forName="image_3" refType="h" fact="0.1456"/>
              <dgm:constr type="l" for="ch" forName="image_accent_1" refType="w" fact="0.5338"/>
              <dgm:constr type="t" for="ch" forName="image_accent_1" refType="h" fact="0.444"/>
              <dgm:constr type="w" for="ch" forName="image_accent_1" refType="w" fact="0.2344"/>
              <dgm:constr type="h" for="ch" forName="image_accent_1" refType="h" fact="0.2426"/>
              <dgm:constr type="l" for="ch" forName="image_1" refType="w" fact="0.5428"/>
              <dgm:constr type="t" for="ch" forName="image_1" refType="h" fact="0.4533"/>
              <dgm:constr type="w" for="ch" forName="image_1" refType="w" fact="0.2164"/>
              <dgm:constr type="h" for="ch" forName="image_1" refType="h" fact="0.224"/>
              <dgm:constr type="l" for="ch" forName="parent_text_1" refType="w" fact="0.6522"/>
              <dgm:constr type="t" for="ch" forName="parent_text_1" refType="h" fact="0.3193"/>
              <dgm:constr type="w" for="ch" forName="parent_text_1" refType="w" fact="0.3478"/>
              <dgm:constr type="h" for="ch" forName="parent_text_1" refType="h" fact="0.115"/>
              <dgm:constr type="l" for="ch" forName="accent_2" refType="w" fact="0.5492"/>
              <dgm:constr type="t" for="ch" forName="accent_2" refType="h" fact="0.2653"/>
              <dgm:constr type="w" for="ch" forName="accent_2" refType="w" fact="0.0696"/>
              <dgm:constr type="h" for="ch" forName="accent_2" refType="h" fact="0.072"/>
              <dgm:constr type="l" for="ch" forName="parent_text_2" refType="w" fact="0.0211"/>
              <dgm:constr type="t" for="ch" forName="parent_text_2" refType="h" fact="0.4973"/>
              <dgm:constr type="w" for="ch" forName="parent_text_2" refType="w" fact="0.3478"/>
              <dgm:constr type="h" for="ch" forName="parent_text_2" refType="h" fact="0.112"/>
              <dgm:constr type="l" for="ch" forName="parent_text_4" refType="w" fact="0.0644"/>
              <dgm:constr type="t" for="ch" forName="parent_text_4" refType="h" fact="0.1726"/>
              <dgm:constr type="w" for="ch" forName="parent_text_4" refType="w" fact="0.3478"/>
              <dgm:constr type="h" for="ch" forName="parent_text_4" refType="h" fact="0.1007"/>
              <dgm:constr type="l" for="ch" forName="accent_3" refType="w" fact="0.2705"/>
              <dgm:constr type="t" for="ch" forName="accent_3" refType="h" fact="0"/>
              <dgm:constr type="w" for="ch" forName="accent_3" refType="w" fact="0.0258"/>
              <dgm:constr type="h" for="ch" forName="accent_3" refType="h" fact="0.0267"/>
              <dgm:constr type="l" for="ch" forName="parent_text_5" refType="w" fact="0"/>
              <dgm:constr type="t" for="ch" forName="parent_text_5" refType="h" fact="0.0654"/>
              <dgm:constr type="w" for="ch" forName="parent_text_5" refType="w" fact="0.3478"/>
              <dgm:constr type="h" for="ch" forName="parent_text_5" refType="h" fact="0.0933"/>
              <dgm:constr type="l" for="ch" forName="parent_text_3" refType="w" fact="0.034"/>
              <dgm:constr type="t" for="ch" forName="parent_text_3" refType="h" fact="0.3193"/>
              <dgm:constr type="w" for="ch" forName="parent_text_3" refType="w" fact="0.3478"/>
              <dgm:constr type="h" for="ch" forName="parent_text_3" refType="h" fact="0.1456"/>
              <dgm:constr type="l" for="ch" forName="parent_text_6" refType="w" fact="0.63"/>
              <dgm:constr type="t" for="ch" forName="parent_text_6" refType="h" fact="0.6896"/>
              <dgm:constr type="w" for="ch" forName="parent_text_6" refType="w" fact="0.3478"/>
              <dgm:constr type="h" for="ch" forName="parent_text_6" refType="h" fact="0.1627"/>
              <dgm:constr type="l" for="ch" forName="accent_4" refType="w" fact="0.322"/>
              <dgm:constr type="t" for="ch" forName="accent_4" refType="h" fact="0.0213"/>
              <dgm:constr type="w" for="ch" forName="accent_4" refType="w" fact="0.0515"/>
              <dgm:constr type="h" for="ch" forName="accent_4" refType="h" fact="0.0533"/>
              <dgm:constr type="l" for="ch" forName="accent_5" refType="w" fact="0.2782"/>
              <dgm:constr type="t" for="ch" forName="accent_5" refType="h" fact="0.92"/>
              <dgm:constr type="w" for="ch" forName="accent_5" refType="w" fact="0.0696"/>
              <dgm:constr type="h" for="ch" forName="accent_5" refType="h" fact="0.072"/>
              <dgm:constr type="l" for="ch" forName="parent_text_7" refType="w" fact="0.485"/>
              <dgm:constr type="t" for="ch" forName="parent_text_7" refType="h" fact="0.87"/>
              <dgm:constr type="w" for="ch" forName="parent_text_7" refType="w" fact="0.347"/>
              <dgm:constr type="h" for="ch" forName="parent_text_7" refType="h" fact="0.13"/>
              <dgm:constr type="l" for="ch" forName="accent_6" refType="w" fact="0.3478"/>
              <dgm:constr type="t" for="ch" forName="accent_6" refType="h" fact="0.6133"/>
              <dgm:constr type="w" for="ch" forName="accent_6" refType="w" fact="0.0386"/>
              <dgm:constr type="h" for="ch" forName="accent_6" refType="h" fact="0.04"/>
            </dgm:constrLst>
          </dgm:else>
        </dgm:choose>
        <dgm:layoutNode name="accent_6" styleLbl="alignNode1">
          <dgm:alg type="sp"/>
          <dgm:shape xmlns:r="http://schemas.openxmlformats.org/officeDocument/2006/relationships" type="donut" r:blip="">
            <dgm:adjLst>
              <dgm:adj idx="1" val="0.0746"/>
            </dgm:adjLst>
          </dgm:shape>
          <dgm:presOf/>
        </dgm:layoutNode>
      </dgm:if>
      <dgm:else name="Name30">
        <dgm:alg type="composite">
          <dgm:param type="ar" val="0.9705"/>
        </dgm:alg>
        <dgm:choose name="Name31">
          <dgm:if name="Name32" func="var" arg="dir" op="equ" val="norm">
            <dgm:constrLst>
              <dgm:constr type="primFontSz" for="des" ptType="node" op="equ" val="65"/>
              <dgm:constr type="l" for="ch" forName="accent_1" refType="w" fact="0.7599"/>
              <dgm:constr type="t" for="ch" forName="accent_1" refType="h" fact="0.925"/>
              <dgm:constr type="w" for="ch" forName="accent_1" refType="w" fact="0.0386"/>
              <dgm:constr type="h" for="ch" forName="accent_1" refType="h" fact="0.0375"/>
              <dgm:constr type="l" for="ch" forName="accent_2" refType="w" fact="0.6182"/>
              <dgm:constr type="t" for="ch" forName="accent_2" refType="h" fact="0.575"/>
              <dgm:constr type="w" for="ch" forName="accent_2" refType="w" fact="0.0386"/>
              <dgm:constr type="h" for="ch" forName="accent_2" refType="h" fact="0.0375"/>
              <dgm:constr type="l" for="ch" forName="image_accent_8" refType="w" fact="0.6449"/>
              <dgm:constr type="t" for="ch" forName="image_accent_8" refType="h" fact="0.8508"/>
              <dgm:constr type="w" for="ch" forName="image_accent_8" refType="w" fact="0.1022"/>
              <dgm:constr type="h" for="ch" forName="image_accent_8" refType="h" fact="0.0992"/>
              <dgm:constr type="l" for="ch" forName="image_8" refType="w" fact="0.6538"/>
              <dgm:constr type="t" for="ch" forName="image_8" refType="h" fact="0.8595"/>
              <dgm:constr type="w" for="ch" forName="image_8" refType="w" fact="0.0844"/>
              <dgm:constr type="h" for="ch" forName="image_8" refType="h" fact="0.0819"/>
              <dgm:constr type="l" for="ch" forName="image_accent_7" refType="w" fact="0.5291"/>
              <dgm:constr type="t" for="ch" forName="image_accent_7" refType="h" fact="0.7805"/>
              <dgm:constr type="w" for="ch" forName="image_accent_7" refType="w" fact="0.1103"/>
              <dgm:constr type="h" for="ch" forName="image_accent_7" refType="h" fact="0.107"/>
              <dgm:constr type="l" for="ch" forName="image_7" refType="w" fact="0.5356"/>
              <dgm:constr type="t" for="ch" forName="image_7" refType="h" fact="0.7868"/>
              <dgm:constr type="w" for="ch" forName="image_7" refType="w" fact="0.0973"/>
              <dgm:constr type="h" for="ch" forName="image_7" refType="h" fact="0.0944"/>
              <dgm:constr type="l" for="ch" forName="image_accent_6" refType="w" fact="0.3864"/>
              <dgm:constr type="t" for="ch" forName="image_accent_6" refType="h" fact="0.6375"/>
              <dgm:constr type="w" for="ch" forName="image_accent_6" refType="w" fact="0.1757"/>
              <dgm:constr type="h" for="ch" forName="image_accent_6" refType="h" fact="0.1706"/>
              <dgm:constr type="l" for="ch" forName="image_6" refType="w" fact="0.3957"/>
              <dgm:constr type="t" for="ch" forName="image_6" refType="h" fact="0.6465"/>
              <dgm:constr type="w" for="ch" forName="image_6" refType="w" fact="0.1572"/>
              <dgm:constr type="h" for="ch" forName="image_6" refType="h" fact="0.1525"/>
              <dgm:constr type="l" for="ch" forName="image_accent_5" refType="w" fact="0.5301"/>
              <dgm:constr type="t" for="ch" forName="image_accent_5" refType="h" fact="0.0555"/>
              <dgm:constr type="w" for="ch" forName="image_accent_5" refType="w" fact="0.1022"/>
              <dgm:constr type="h" for="ch" forName="image_accent_5" refType="h" fact="0.0992"/>
              <dgm:constr type="l" for="ch" forName="image_5" refType="w" fact="0.5361"/>
              <dgm:constr type="t" for="ch" forName="image_5" refType="h" fact="0.0613"/>
              <dgm:constr type="w" for="ch" forName="image_5" refType="w" fact="0.0902"/>
              <dgm:constr type="h" for="ch" forName="image_5" refType="h" fact="0.0875"/>
              <dgm:constr type="l" for="ch" forName="image_accent_4" refType="w" fact="0.4528"/>
              <dgm:constr type="t" for="ch" forName="image_accent_4" refType="h" fact="0.1555"/>
              <dgm:constr type="w" for="ch" forName="image_accent_4" refType="w" fact="0.1103"/>
              <dgm:constr type="h" for="ch" forName="image_accent_4" refType="h" fact="0.107"/>
              <dgm:constr type="l" for="ch" forName="image_4" refType="w" fact="0.4593"/>
              <dgm:constr type="t" for="ch" forName="image_4" refType="h" fact="0.1618"/>
              <dgm:constr type="w" for="ch" forName="image_4" refType="w" fact="0.0973"/>
              <dgm:constr type="h" for="ch" forName="image_4" refType="h" fact="0.0944"/>
              <dgm:constr type="l" for="ch" forName="image_accent_2" refType="w" fact="0.4832"/>
              <dgm:constr type="t" for="ch" forName="image_accent_2" refType="h" fact="0.4593"/>
              <dgm:constr type="w" for="ch" forName="image_accent_2" refType="w" fact="0.1226"/>
              <dgm:constr type="h" for="ch" forName="image_accent_2" refType="h" fact="0.119"/>
              <dgm:constr type="l" for="ch" forName="image_2" refType="w" fact="0.4904"/>
              <dgm:constr type="t" for="ch" forName="image_2" refType="h" fact="0.4663"/>
              <dgm:constr type="w" for="ch" forName="image_2" refType="w" fact="0.1082"/>
              <dgm:constr type="h" for="ch" forName="image_2" refType="h" fact="0.105"/>
              <dgm:constr type="l" for="ch" forName="image_accent_3" refType="w" fact="0.4352"/>
              <dgm:constr type="t" for="ch" forName="image_accent_3" refType="h" fact="0.2913"/>
              <dgm:constr type="w" for="ch" forName="image_accent_3" refType="w" fact="0.1573"/>
              <dgm:constr type="h" for="ch" forName="image_accent_3" refType="h" fact="0.1526"/>
              <dgm:constr type="l" for="ch" forName="image_3" refType="w" fact="0.4435"/>
              <dgm:constr type="t" for="ch" forName="image_3" refType="h" fact="0.2993"/>
              <dgm:constr type="w" for="ch" forName="image_3" refType="w" fact="0.1407"/>
              <dgm:constr type="h" for="ch" forName="image_3" refType="h" fact="0.1365"/>
              <dgm:constr type="l" for="ch" forName="image_accent_1" refType="w" fact="0.2318"/>
              <dgm:constr type="t" for="ch" forName="image_accent_1" refType="h" fact="0.4163"/>
              <dgm:constr type="w" for="ch" forName="image_accent_1" refType="w" fact="0.2344"/>
              <dgm:constr type="h" for="ch" forName="image_accent_1" refType="h" fact="0.2275"/>
              <dgm:constr type="l" for="ch" forName="image_1" refType="w" fact="0.2408"/>
              <dgm:constr type="t" for="ch" forName="image_1" refType="h" fact="0.425"/>
              <dgm:constr type="w" for="ch" forName="image_1" refType="w" fact="0.2164"/>
              <dgm:constr type="h" for="ch" forName="image_1" refType="h" fact="0.21"/>
              <dgm:constr type="l" for="ch" forName="parent_text_1" refType="w" fact="0"/>
              <dgm:constr type="t" for="ch" forName="parent_text_1" refType="h" fact="0.2993"/>
              <dgm:constr type="w" for="ch" forName="parent_text_1" refType="w" fact="0.3478"/>
              <dgm:constr type="h" for="ch" forName="parent_text_1" refType="h" fact="0.11"/>
              <dgm:constr type="l" for="ch" forName="accent_3" refType="w" fact="0.3813"/>
              <dgm:constr type="t" for="ch" forName="accent_3" refType="h" fact="0.2488"/>
              <dgm:constr type="w" for="ch" forName="accent_3" refType="w" fact="0.0696"/>
              <dgm:constr type="h" for="ch" forName="accent_3" refType="h" fact="0.0675"/>
              <dgm:constr type="l" for="ch" forName="parent_text_2" refType="w" fact="0.6311"/>
              <dgm:constr type="t" for="ch" forName="parent_text_2" refType="h" fact="0.4663"/>
              <dgm:constr type="w" for="ch" forName="parent_text_2" refType="w" fact="0.3478"/>
              <dgm:constr type="h" for="ch" forName="parent_text_2" refType="h" fact="0.105"/>
              <dgm:constr type="l" for="ch" forName="parent_text_4" refType="w" fact="0.5878"/>
              <dgm:constr type="t" for="ch" forName="parent_text_4" refType="h" fact="0.1618"/>
              <dgm:constr type="w" for="ch" forName="parent_text_4" refType="w" fact="0.3478"/>
              <dgm:constr type="h" for="ch" forName="parent_text_4" refType="h" fact="0.0944"/>
              <dgm:constr type="l" for="ch" forName="accent_4" refType="w" fact="0.7038"/>
              <dgm:constr type="t" for="ch" forName="accent_4" refType="h" fact="0"/>
              <dgm:constr type="w" for="ch" forName="accent_4" refType="w" fact="0.0258"/>
              <dgm:constr type="h" for="ch" forName="accent_4" refType="h" fact="0.025"/>
              <dgm:constr type="l" for="ch" forName="parent_text_5" refType="w" fact="0.6522"/>
              <dgm:constr type="t" for="ch" forName="parent_text_5" refType="h" fact="0.0625"/>
              <dgm:constr type="w" for="ch" forName="parent_text_5" refType="w" fact="0.3478"/>
              <dgm:constr type="h" for="ch" forName="parent_text_5" refType="h" fact="0.0863"/>
              <dgm:constr type="l" for="ch" forName="parent_text_3" refType="w" fact="0.6182"/>
              <dgm:constr type="t" for="ch" forName="parent_text_3" refType="h" fact="0.2993"/>
              <dgm:constr type="w" for="ch" forName="parent_text_3" refType="w" fact="0.3478"/>
              <dgm:constr type="h" for="ch" forName="parent_text_3" refType="h" fact="0.1365"/>
              <dgm:constr type="l" for="ch" forName="parent_text_6" refType="w" fact="0.02"/>
              <dgm:constr type="t" for="ch" forName="parent_text_6" refType="h" fact="0.6465"/>
              <dgm:constr type="w" for="ch" forName="parent_text_6" refType="w" fact="0.3478"/>
              <dgm:constr type="h" for="ch" forName="parent_text_6" refType="h" fact="0.1525"/>
              <dgm:constr type="l" for="ch" forName="accent_5" refType="w" fact="0.6265"/>
              <dgm:constr type="t" for="ch" forName="accent_5" refType="h" fact="0.02"/>
              <dgm:constr type="w" for="ch" forName="accent_5" refType="w" fact="0.0515"/>
              <dgm:constr type="h" for="ch" forName="accent_5" refType="h" fact="0.05"/>
              <dgm:constr type="l" for="ch" forName="parent_text_7" refType="w" fact="0.165"/>
              <dgm:constr type="t" for="ch" forName="parent_text_7" refType="h" fact="0.81"/>
              <dgm:constr type="w" for="ch" forName="parent_text_7" refType="w" fact="0.3478"/>
              <dgm:constr type="h" for="ch" forName="parent_text_7" refType="h" fact="0.077"/>
              <dgm:constr type="l" for="ch" forName="parent_text_8" refType="w" fact="0.275"/>
              <dgm:constr type="t" for="ch" forName="parent_text_8" refType="h" fact="0.89"/>
              <dgm:constr type="w" for="ch" forName="parent_text_8" refType="w" fact="0.3478"/>
              <dgm:constr type="h" for="ch" forName="parent_text_8" refType="h" fact="0.11"/>
            </dgm:constrLst>
          </dgm:if>
          <dgm:else name="Name33">
            <dgm:constrLst>
              <dgm:constr type="primFontSz" for="des" ptType="node" op="equ" val="65"/>
              <dgm:constr type="l" for="ch" forName="accent_1" refType="w" fact="0.2014"/>
              <dgm:constr type="t" for="ch" forName="accent_1" refType="h" fact="0.925"/>
              <dgm:constr type="w" for="ch" forName="accent_1" refType="w" fact="0.0386"/>
              <dgm:constr type="h" for="ch" forName="accent_1" refType="h" fact="0.0375"/>
              <dgm:constr type="l" for="ch" forName="accent_2" refType="w" fact="0.3431"/>
              <dgm:constr type="t" for="ch" forName="accent_2" refType="h" fact="0.575"/>
              <dgm:constr type="w" for="ch" forName="accent_2" refType="w" fact="0.0386"/>
              <dgm:constr type="h" for="ch" forName="accent_2" refType="h" fact="0.0375"/>
              <dgm:constr type="l" for="ch" forName="image_accent_8" refType="w" fact="0.253"/>
              <dgm:constr type="t" for="ch" forName="image_accent_8" refType="h" fact="0.8508"/>
              <dgm:constr type="w" for="ch" forName="image_accent_8" refType="w" fact="0.1022"/>
              <dgm:constr type="h" for="ch" forName="image_accent_8" refType="h" fact="0.0992"/>
              <dgm:constr type="l" for="ch" forName="image_8" refType="w" fact="0.2619"/>
              <dgm:constr type="t" for="ch" forName="image_8" refType="h" fact="0.8595"/>
              <dgm:constr type="w" for="ch" forName="image_8" refType="w" fact="0.0844"/>
              <dgm:constr type="h" for="ch" forName="image_8" refType="h" fact="0.0819"/>
              <dgm:constr type="l" for="ch" forName="image_accent_7" refType="w" fact="0.3606"/>
              <dgm:constr type="t" for="ch" forName="image_accent_7" refType="h" fact="0.7805"/>
              <dgm:constr type="w" for="ch" forName="image_accent_7" refType="w" fact="0.1103"/>
              <dgm:constr type="h" for="ch" forName="image_accent_7" refType="h" fact="0.107"/>
              <dgm:constr type="l" for="ch" forName="image_7" refType="w" fact="0.3671"/>
              <dgm:constr type="t" for="ch" forName="image_7" refType="h" fact="0.7868"/>
              <dgm:constr type="w" for="ch" forName="image_7" refType="w" fact="0.0973"/>
              <dgm:constr type="h" for="ch" forName="image_7" refType="h" fact="0.0944"/>
              <dgm:constr type="l" for="ch" forName="image_accent_6" refType="w" fact="0.4379"/>
              <dgm:constr type="t" for="ch" forName="image_accent_6" refType="h" fact="0.6375"/>
              <dgm:constr type="w" for="ch" forName="image_accent_6" refType="w" fact="0.1757"/>
              <dgm:constr type="h" for="ch" forName="image_accent_6" refType="h" fact="0.1706"/>
              <dgm:constr type="l" for="ch" forName="image_6" refType="w" fact="0.4471"/>
              <dgm:constr type="t" for="ch" forName="image_6" refType="h" fact="0.6465"/>
              <dgm:constr type="w" for="ch" forName="image_6" refType="w" fact="0.1572"/>
              <dgm:constr type="h" for="ch" forName="image_6" refType="h" fact="0.1525"/>
              <dgm:constr type="l" for="ch" forName="image_accent_5" refType="w" fact="0.3677"/>
              <dgm:constr type="t" for="ch" forName="image_accent_5" refType="h" fact="0.0555"/>
              <dgm:constr type="w" for="ch" forName="image_accent_5" refType="w" fact="0.1022"/>
              <dgm:constr type="h" for="ch" forName="image_accent_5" refType="h" fact="0.0992"/>
              <dgm:constr type="l" for="ch" forName="image_5" refType="w" fact="0.3738"/>
              <dgm:constr type="t" for="ch" forName="image_5" refType="h" fact="0.0613"/>
              <dgm:constr type="w" for="ch" forName="image_5" refType="w" fact="0.0902"/>
              <dgm:constr type="h" for="ch" forName="image_5" refType="h" fact="0.0875"/>
              <dgm:constr type="l" for="ch" forName="image_accent_4" refType="w" fact="0.437"/>
              <dgm:constr type="t" for="ch" forName="image_accent_4" refType="h" fact="0.1555"/>
              <dgm:constr type="w" for="ch" forName="image_accent_4" refType="w" fact="0.1103"/>
              <dgm:constr type="h" for="ch" forName="image_accent_4" refType="h" fact="0.107"/>
              <dgm:constr type="l" for="ch" forName="image_4" refType="w" fact="0.4434"/>
              <dgm:constr type="t" for="ch" forName="image_4" refType="h" fact="0.1618"/>
              <dgm:constr type="w" for="ch" forName="image_4" refType="w" fact="0.0973"/>
              <dgm:constr type="h" for="ch" forName="image_4" refType="h" fact="0.0944"/>
              <dgm:constr type="l" for="ch" forName="image_accent_2" refType="w" fact="0.3942"/>
              <dgm:constr type="t" for="ch" forName="image_accent_2" refType="h" fact="0.4593"/>
              <dgm:constr type="w" for="ch" forName="image_accent_2" refType="w" fact="0.1226"/>
              <dgm:constr type="h" for="ch" forName="image_accent_2" refType="h" fact="0.119"/>
              <dgm:constr type="l" for="ch" forName="image_2" refType="w" fact="0.4014"/>
              <dgm:constr type="t" for="ch" forName="image_2" refType="h" fact="0.4663"/>
              <dgm:constr type="w" for="ch" forName="image_2" refType="w" fact="0.1082"/>
              <dgm:constr type="h" for="ch" forName="image_2" refType="h" fact="0.105"/>
              <dgm:constr type="l" for="ch" forName="image_accent_3" refType="w" fact="0.4075"/>
              <dgm:constr type="t" for="ch" forName="image_accent_3" refType="h" fact="0.2913"/>
              <dgm:constr type="w" for="ch" forName="image_accent_3" refType="w" fact="0.1573"/>
              <dgm:constr type="h" for="ch" forName="image_accent_3" refType="h" fact="0.1526"/>
              <dgm:constr type="l" for="ch" forName="image_3" refType="w" fact="0.4158"/>
              <dgm:constr type="t" for="ch" forName="image_3" refType="h" fact="0.2993"/>
              <dgm:constr type="w" for="ch" forName="image_3" refType="w" fact="0.1407"/>
              <dgm:constr type="h" for="ch" forName="image_3" refType="h" fact="0.1365"/>
              <dgm:constr type="l" for="ch" forName="image_accent_1" refType="w" fact="0.5338"/>
              <dgm:constr type="t" for="ch" forName="image_accent_1" refType="h" fact="0.4163"/>
              <dgm:constr type="w" for="ch" forName="image_accent_1" refType="w" fact="0.2344"/>
              <dgm:constr type="h" for="ch" forName="image_accent_1" refType="h" fact="0.2275"/>
              <dgm:constr type="l" for="ch" forName="image_1" refType="w" fact="0.5428"/>
              <dgm:constr type="t" for="ch" forName="image_1" refType="h" fact="0.425"/>
              <dgm:constr type="w" for="ch" forName="image_1" refType="w" fact="0.2164"/>
              <dgm:constr type="h" for="ch" forName="image_1" refType="h" fact="0.21"/>
              <dgm:constr type="l" for="ch" forName="parent_text_1" refType="w" fact="0.6522"/>
              <dgm:constr type="t" for="ch" forName="parent_text_1" refType="h" fact="0.2993"/>
              <dgm:constr type="w" for="ch" forName="parent_text_1" refType="w" fact="0.3478"/>
              <dgm:constr type="h" for="ch" forName="parent_text_1" refType="h" fact="0.11"/>
              <dgm:constr type="l" for="ch" forName="accent_3" refType="w" fact="0.5492"/>
              <dgm:constr type="t" for="ch" forName="accent_3" refType="h" fact="0.2488"/>
              <dgm:constr type="w" for="ch" forName="accent_3" refType="w" fact="0.0696"/>
              <dgm:constr type="h" for="ch" forName="accent_3" refType="h" fact="0.0675"/>
              <dgm:constr type="l" for="ch" forName="parent_text_2" refType="w" fact="0.0211"/>
              <dgm:constr type="t" for="ch" forName="parent_text_2" refType="h" fact="0.4663"/>
              <dgm:constr type="w" for="ch" forName="parent_text_2" refType="w" fact="0.3478"/>
              <dgm:constr type="h" for="ch" forName="parent_text_2" refType="h" fact="0.105"/>
              <dgm:constr type="l" for="ch" forName="parent_text_4" refType="w" fact="0.0635"/>
              <dgm:constr type="t" for="ch" forName="parent_text_4" refType="h" fact="0.1618"/>
              <dgm:constr type="w" for="ch" forName="parent_text_4" refType="w" fact="0.3478"/>
              <dgm:constr type="h" for="ch" forName="parent_text_4" refType="h" fact="0.0944"/>
              <dgm:constr type="l" for="ch" forName="accent_4" refType="w" fact="0.2705"/>
              <dgm:constr type="t" for="ch" forName="accent_4" refType="h" fact="0"/>
              <dgm:constr type="w" for="ch" forName="accent_4" refType="w" fact="0.0258"/>
              <dgm:constr type="h" for="ch" forName="accent_4" refType="h" fact="0.025"/>
              <dgm:constr type="l" for="ch" forName="parent_text_5" refType="w" fact="0"/>
              <dgm:constr type="t" for="ch" forName="parent_text_5" refType="h" fact="0.0625"/>
              <dgm:constr type="w" for="ch" forName="parent_text_5" refType="w" fact="0.3478"/>
              <dgm:constr type="h" for="ch" forName="parent_text_5" refType="h" fact="0.0863"/>
              <dgm:constr type="l" for="ch" forName="parent_text_3" refType="w" fact="0.034"/>
              <dgm:constr type="t" for="ch" forName="parent_text_3" refType="h" fact="0.2993"/>
              <dgm:constr type="w" for="ch" forName="parent_text_3" refType="w" fact="0.3478"/>
              <dgm:constr type="h" for="ch" forName="parent_text_3" refType="h" fact="0.1365"/>
              <dgm:constr type="l" for="ch" forName="parent_text_6" refType="w" fact="0.635"/>
              <dgm:constr type="t" for="ch" forName="parent_text_6" refType="h" fact="0.6465"/>
              <dgm:constr type="w" for="ch" forName="parent_text_6" refType="w" fact="0.3478"/>
              <dgm:constr type="h" for="ch" forName="parent_text_6" refType="h" fact="0.1525"/>
              <dgm:constr type="l" for="ch" forName="accent_5" refType="w" fact="0.322"/>
              <dgm:constr type="t" for="ch" forName="accent_5" refType="h" fact="0.02"/>
              <dgm:constr type="w" for="ch" forName="accent_5" refType="w" fact="0.0515"/>
              <dgm:constr type="h" for="ch" forName="accent_5" refType="h" fact="0.05"/>
              <dgm:constr type="l" for="ch" forName="parent_text_7" refType="w" fact="0.49"/>
              <dgm:constr type="t" for="ch" forName="parent_text_7" refType="h" fact="0.81"/>
              <dgm:constr type="w" for="ch" forName="parent_text_7" refType="w" fact="0.3478"/>
              <dgm:constr type="h" for="ch" forName="parent_text_7" refType="h" fact="0.077"/>
              <dgm:constr type="l" for="ch" forName="parent_text_8" refType="w" fact="0.375"/>
              <dgm:constr type="t" for="ch" forName="parent_text_8" refType="h" fact="0.89"/>
              <dgm:constr type="w" for="ch" forName="parent_text_8" refType="w" fact="0.3478"/>
              <dgm:constr type="h" for="ch" forName="parent_text_8" refType="h" fact="0.11"/>
            </dgm:constrLst>
          </dgm:else>
        </dgm:choose>
      </dgm:else>
    </dgm:choose>
    <dgm:forEach name="wrapper" axis="self" ptType="parTrans">
      <dgm:forEach name="wrapper2" axis="self" ptType="sibTrans" st="2">
        <dgm:forEach name="imageAccentRepeat" axis="self">
          <dgm:layoutNode name="imageAccentRepeatNode" styleLbl="alignNode1">
            <dgm:alg type="sp"/>
            <dgm:shape xmlns:r="http://schemas.openxmlformats.org/officeDocument/2006/relationships" type="ellipse" r:blip="">
              <dgm:adjLst/>
            </dgm:shape>
            <dgm:presOf/>
          </dgm:layoutNode>
        </dgm:forEach>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forEach name="Name34" axis="ch" ptType="node" cnt="1">
      <dgm:layoutNode name="parent_text_1" styleLbl="revTx">
        <dgm:varLst>
          <dgm:chMax val="0"/>
          <dgm:chPref val="0"/>
          <dgm:bulletEnabled val="1"/>
        </dgm:varLst>
        <dgm:choose name="Name35">
          <dgm:if name="Name36" func="var" arg="dir" op="equ" val="norm">
            <dgm:alg type="tx">
              <dgm:param type="parTxLTRAlign" val="r"/>
              <dgm:param type="shpTxLTRAlignCh" val="r"/>
              <dgm:param type="txAnchorVert" val="b"/>
              <dgm:param type="lnSpCh" val="15"/>
            </dgm:alg>
          </dgm:if>
          <dgm:else name="Name37">
            <dgm:alg type="tx">
              <dgm:param type="parTxLTRAlign" val="l"/>
              <dgm:param type="shpTxLTRAlignCh" val="l"/>
              <dgm:param type="txAnchorVert" val="b"/>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01"/>
        </dgm:constrLst>
        <dgm:ruleLst>
          <dgm:rule type="primFontSz" val="5" fact="NaN" max="NaN"/>
        </dgm:ruleLst>
      </dgm:layoutNode>
      <dgm:layoutNode name="image_accent_1">
        <dgm:alg type="sp"/>
        <dgm:shape xmlns:r="http://schemas.openxmlformats.org/officeDocument/2006/relationships" r:blip="">
          <dgm:adjLst/>
        </dgm:shape>
        <dgm:presOf/>
        <dgm:constrLst/>
        <dgm:forEach name="Name38" ref="imageAccentRepeat"/>
      </dgm:layoutNode>
      <dgm:layoutNode name="accent_1" styleLbl="alignNode1">
        <dgm:alg type="sp"/>
        <dgm:shape xmlns:r="http://schemas.openxmlformats.org/officeDocument/2006/relationships" type="donut" r:blip="">
          <dgm:adjLst>
            <dgm:adj idx="1" val="0.0746"/>
          </dgm:adjLst>
        </dgm:shape>
        <dgm:presOf/>
      </dgm:layoutNode>
    </dgm:forEach>
    <dgm:forEach name="Name39" axis="ch" ptType="sibTrans" hideLastTrans="0" cnt="1">
      <dgm:layoutNode name="image_1">
        <dgm:alg type="sp"/>
        <dgm:shape xmlns:r="http://schemas.openxmlformats.org/officeDocument/2006/relationships" r:blip="">
          <dgm:adjLst/>
        </dgm:shape>
        <dgm:presOf/>
        <dgm:constrLst/>
        <dgm:forEach name="Name40" ref="imageRepeat"/>
      </dgm:layoutNode>
    </dgm:forEach>
    <dgm:forEach name="Name41" axis="ch" ptType="node" st="2" cnt="1">
      <dgm:layoutNode name="parent_text_2" styleLbl="revTx">
        <dgm:varLst>
          <dgm:chMax val="0"/>
          <dgm:chPref val="0"/>
          <dgm:bulletEnabled val="1"/>
        </dgm:varLst>
        <dgm:choose name="Name42">
          <dgm:if name="Name43" func="var" arg="dir" op="equ" val="norm">
            <dgm:alg type="tx">
              <dgm:param type="parTxLTRAlign" val="l"/>
              <dgm:param type="lnSpCh" val="15"/>
            </dgm:alg>
          </dgm:if>
          <dgm:else name="Name44">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2">
        <dgm:alg type="sp"/>
        <dgm:shape xmlns:r="http://schemas.openxmlformats.org/officeDocument/2006/relationships" r:blip="">
          <dgm:adjLst/>
        </dgm:shape>
        <dgm:presOf/>
        <dgm:constrLst/>
        <dgm:forEach name="Name45" ref="imageAccentRepeat"/>
      </dgm:layoutNode>
    </dgm:forEach>
    <dgm:forEach name="Name46" axis="ch" ptType="sibTrans" hideLastTrans="0" st="2" cnt="1">
      <dgm:layoutNode name="image_2">
        <dgm:alg type="sp"/>
        <dgm:shape xmlns:r="http://schemas.openxmlformats.org/officeDocument/2006/relationships" r:blip="">
          <dgm:adjLst/>
        </dgm:shape>
        <dgm:presOf/>
        <dgm:constrLst/>
        <dgm:forEach name="Name47" ref="imageRepeat"/>
      </dgm:layoutNode>
    </dgm:forEach>
    <dgm:forEach name="Name48" axis="ch" ptType="node" st="3" cnt="1">
      <dgm:layoutNode name="image_accent_3">
        <dgm:alg type="sp"/>
        <dgm:shape xmlns:r="http://schemas.openxmlformats.org/officeDocument/2006/relationships" r:blip="">
          <dgm:adjLst/>
        </dgm:shape>
        <dgm:presOf/>
        <dgm:constrLst/>
        <dgm:forEach name="Name49" ref="imageAccentRepeat"/>
      </dgm:layoutNode>
      <dgm:layoutNode name="parent_text_3" styleLbl="revTx">
        <dgm:varLst>
          <dgm:chMax val="0"/>
          <dgm:chPref val="0"/>
          <dgm:bulletEnabled val="1"/>
        </dgm:varLst>
        <dgm:choose name="Name50">
          <dgm:if name="Name51" func="var" arg="dir" op="equ" val="norm">
            <dgm:alg type="tx">
              <dgm:param type="parTxLTRAlign" val="l"/>
              <dgm:param type="lnSpCh" val="15"/>
            </dgm:alg>
          </dgm:if>
          <dgm:else name="Name52">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2" styleLbl="alignNode1">
        <dgm:alg type="sp"/>
        <dgm:shape xmlns:r="http://schemas.openxmlformats.org/officeDocument/2006/relationships" type="donut" r:blip="">
          <dgm:adjLst>
            <dgm:adj idx="1" val="0.0746"/>
          </dgm:adjLst>
        </dgm:shape>
        <dgm:presOf/>
      </dgm:layoutNode>
      <dgm:layoutNode name="accent_3" styleLbl="alignNode1">
        <dgm:alg type="sp"/>
        <dgm:shape xmlns:r="http://schemas.openxmlformats.org/officeDocument/2006/relationships" type="donut" r:blip="">
          <dgm:adjLst>
            <dgm:adj idx="1" val="0.0746"/>
          </dgm:adjLst>
        </dgm:shape>
        <dgm:presOf/>
      </dgm:layoutNode>
    </dgm:forEach>
    <dgm:forEach name="Name53" axis="ch" ptType="sibTrans" hideLastTrans="0" st="3" cnt="1">
      <dgm:layoutNode name="image_3">
        <dgm:alg type="sp"/>
        <dgm:shape xmlns:r="http://schemas.openxmlformats.org/officeDocument/2006/relationships" r:blip="">
          <dgm:adjLst/>
        </dgm:shape>
        <dgm:presOf/>
        <dgm:constrLst/>
        <dgm:forEach name="Name54" ref="imageRepeat"/>
      </dgm:layoutNode>
    </dgm:forEach>
    <dgm:forEach name="Name55" axis="ch" ptType="node" st="4" cnt="1">
      <dgm:layoutNode name="image_accent_4">
        <dgm:alg type="sp"/>
        <dgm:shape xmlns:r="http://schemas.openxmlformats.org/officeDocument/2006/relationships" r:blip="">
          <dgm:adjLst/>
        </dgm:shape>
        <dgm:presOf/>
        <dgm:constrLst/>
        <dgm:forEach name="Name56" ref="imageAccentRepeat"/>
      </dgm:layoutNode>
      <dgm:layoutNode name="parent_text_4" styleLbl="revTx">
        <dgm:varLst>
          <dgm:chMax val="0"/>
          <dgm:chPref val="0"/>
          <dgm:bulletEnabled val="1"/>
        </dgm:varLst>
        <dgm:choose name="Name57">
          <dgm:if name="Name58" func="var" arg="dir" op="equ" val="norm">
            <dgm:alg type="tx">
              <dgm:param type="parTxLTRAlign" val="l"/>
              <dgm:param type="lnSpCh" val="15"/>
            </dgm:alg>
          </dgm:if>
          <dgm:else name="Name59">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4" styleLbl="alignNode1">
        <dgm:alg type="sp"/>
        <dgm:shape xmlns:r="http://schemas.openxmlformats.org/officeDocument/2006/relationships" type="donut" r:blip="">
          <dgm:adjLst>
            <dgm:adj idx="1" val="0.0746"/>
          </dgm:adjLst>
        </dgm:shape>
        <dgm:presOf/>
      </dgm:layoutNode>
    </dgm:forEach>
    <dgm:forEach name="Name60" axis="ch" ptType="sibTrans" hideLastTrans="0" st="4" cnt="1">
      <dgm:layoutNode name="image_4">
        <dgm:alg type="sp"/>
        <dgm:shape xmlns:r="http://schemas.openxmlformats.org/officeDocument/2006/relationships" r:blip="">
          <dgm:adjLst/>
        </dgm:shape>
        <dgm:presOf/>
        <dgm:constrLst/>
        <dgm:forEach name="Name61" ref="imageRepeat"/>
      </dgm:layoutNode>
    </dgm:forEach>
    <dgm:forEach name="Name62" axis="ch" ptType="node" st="5" cnt="1">
      <dgm:layoutNode name="image_accent_5">
        <dgm:alg type="sp"/>
        <dgm:shape xmlns:r="http://schemas.openxmlformats.org/officeDocument/2006/relationships" r:blip="">
          <dgm:adjLst/>
        </dgm:shape>
        <dgm:presOf/>
        <dgm:constrLst/>
        <dgm:forEach name="Name63" ref="imageAccentRepeat"/>
      </dgm:layoutNode>
      <dgm:layoutNode name="parent_text_5" styleLbl="revTx">
        <dgm:varLst>
          <dgm:chMax val="0"/>
          <dgm:chPref val="0"/>
          <dgm:bulletEnabled val="1"/>
        </dgm:varLst>
        <dgm:choose name="Name64">
          <dgm:if name="Name65" func="var" arg="dir" op="equ" val="norm">
            <dgm:alg type="tx">
              <dgm:param type="parTxLTRAlign" val="l"/>
              <dgm:param type="lnSpCh" val="15"/>
            </dgm:alg>
          </dgm:if>
          <dgm:else name="Name66">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sibTrans" hideLastTrans="0" st="5" cnt="1">
      <dgm:layoutNode name="image_5">
        <dgm:alg type="sp"/>
        <dgm:shape xmlns:r="http://schemas.openxmlformats.org/officeDocument/2006/relationships" r:blip="">
          <dgm:adjLst/>
        </dgm:shape>
        <dgm:presOf/>
        <dgm:constrLst/>
        <dgm:forEach name="Name68" ref="imageRepeat"/>
      </dgm:layoutNode>
    </dgm:forEach>
    <dgm:forEach name="Name69" axis="ch" ptType="node" st="6" cnt="1">
      <dgm:layoutNode name="parent_text_6" styleLbl="revTx">
        <dgm:varLst>
          <dgm:chMax val="0"/>
          <dgm:chPref val="0"/>
          <dgm:bulletEnabled val="1"/>
        </dgm:varLst>
        <dgm:choose name="Name70">
          <dgm:if name="Name71" func="var" arg="dir" op="equ" val="norm">
            <dgm:alg type="tx">
              <dgm:param type="parTxLTRAlign" val="r"/>
              <dgm:param type="shpTxLTRAlignCh" val="r"/>
              <dgm:param type="lnSpCh" val="15"/>
            </dgm:alg>
          </dgm:if>
          <dgm:else name="Name72">
            <dgm:alg type="tx">
              <dgm:param type="parTxLTRAlign" val="l"/>
              <dgm:param type="shpTxLTRAlignCh" val="l"/>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6">
        <dgm:alg type="sp"/>
        <dgm:shape xmlns:r="http://schemas.openxmlformats.org/officeDocument/2006/relationships" r:blip="">
          <dgm:adjLst/>
        </dgm:shape>
        <dgm:presOf/>
        <dgm:constrLst/>
        <dgm:forEach name="Name73" ref="imageAccentRepeat"/>
      </dgm:layoutNode>
      <dgm:layoutNode name="accent_5" styleLbl="alignNode1">
        <dgm:alg type="sp"/>
        <dgm:shape xmlns:r="http://schemas.openxmlformats.org/officeDocument/2006/relationships" type="donut" r:blip="">
          <dgm:adjLst>
            <dgm:adj idx="1" val="0.0746"/>
          </dgm:adjLst>
        </dgm:shape>
        <dgm:presOf/>
      </dgm:layoutNode>
    </dgm:forEach>
    <dgm:forEach name="Name74" axis="ch" ptType="sibTrans" hideLastTrans="0" st="6" cnt="1">
      <dgm:layoutNode name="image_6">
        <dgm:alg type="sp"/>
        <dgm:shape xmlns:r="http://schemas.openxmlformats.org/officeDocument/2006/relationships" r:blip="">
          <dgm:adjLst/>
        </dgm:shape>
        <dgm:presOf/>
        <dgm:constrLst/>
        <dgm:forEach name="Name75" ref="imageRepeat"/>
      </dgm:layoutNode>
    </dgm:forEach>
    <dgm:forEach name="Name76" axis="ch" ptType="node" st="7" cnt="1">
      <dgm:layoutNode name="parent_text_7" styleLbl="revTx">
        <dgm:varLst>
          <dgm:chMax val="0"/>
          <dgm:chPref val="0"/>
          <dgm:bulletEnabled val="1"/>
        </dgm:varLst>
        <dgm:choose name="Name77">
          <dgm:if name="Name78" func="var" arg="dir" op="equ" val="norm">
            <dgm:alg type="tx">
              <dgm:param type="parTxLTRAlign" val="r"/>
              <dgm:param type="shpTxLTRAlignCh" val="r"/>
              <dgm:param type="txAnchorVert" val="t"/>
              <dgm:param type="lnSpCh" val="15"/>
            </dgm:alg>
          </dgm:if>
          <dgm:else name="Name79">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7">
        <dgm:alg type="sp"/>
        <dgm:shape xmlns:r="http://schemas.openxmlformats.org/officeDocument/2006/relationships" r:blip="">
          <dgm:adjLst/>
        </dgm:shape>
        <dgm:presOf/>
        <dgm:constrLst/>
        <dgm:forEach name="Name80" ref="imageAccentRepeat"/>
      </dgm:layoutNode>
    </dgm:forEach>
    <dgm:forEach name="Name81" axis="ch" ptType="sibTrans" hideLastTrans="0" st="7" cnt="1">
      <dgm:layoutNode name="image_7">
        <dgm:alg type="sp"/>
        <dgm:shape xmlns:r="http://schemas.openxmlformats.org/officeDocument/2006/relationships" r:blip="">
          <dgm:adjLst/>
        </dgm:shape>
        <dgm:presOf/>
        <dgm:constrLst/>
        <dgm:forEach name="Name82" ref="imageRepeat"/>
      </dgm:layoutNode>
    </dgm:forEach>
    <dgm:forEach name="Name83" axis="ch" ptType="node" st="8" cnt="1">
      <dgm:layoutNode name="parent_text_8" styleLbl="revTx">
        <dgm:varLst>
          <dgm:chMax val="0"/>
          <dgm:chPref val="0"/>
          <dgm:bulletEnabled val="1"/>
        </dgm:varLst>
        <dgm:choose name="Name84">
          <dgm:if name="Name85" func="var" arg="dir" op="equ" val="norm">
            <dgm:alg type="tx">
              <dgm:param type="parTxLTRAlign" val="r"/>
              <dgm:param type="shpTxLTRAlignCh" val="r"/>
              <dgm:param type="txAnchorVert" val="t"/>
              <dgm:param type="lnSpCh" val="15"/>
            </dgm:alg>
          </dgm:if>
          <dgm:else name="Name86">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8">
        <dgm:alg type="sp"/>
        <dgm:shape xmlns:r="http://schemas.openxmlformats.org/officeDocument/2006/relationships" r:blip="">
          <dgm:adjLst/>
        </dgm:shape>
        <dgm:presOf/>
        <dgm:constrLst/>
        <dgm:forEach name="Name87" ref="imageAccentRepeat"/>
      </dgm:layoutNode>
    </dgm:forEach>
    <dgm:forEach name="Name88" axis="ch" ptType="sibTrans" hideLastTrans="0" st="8" cnt="1">
      <dgm:layoutNode name="image_8">
        <dgm:alg type="sp"/>
        <dgm:shape xmlns:r="http://schemas.openxmlformats.org/officeDocument/2006/relationships" r:blip="">
          <dgm:adjLst/>
        </dgm:shape>
        <dgm:presOf/>
        <dgm:constrLst/>
        <dgm:forEach name="Name8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8A072-C25D-4351-808C-3BC87BAF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tf16392719</Template>
  <TotalTime>21</TotalTime>
  <Pages>36</Pages>
  <Words>12462</Words>
  <Characters>68545</Characters>
  <Application>Microsoft Office Word</Application>
  <DocSecurity>0</DocSecurity>
  <Lines>571</Lines>
  <Paragraphs>161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Loredo Melendez Sonia</dc:creator>
  <cp:keywords/>
  <dc:description/>
  <cp:lastModifiedBy>Meza Rodriguez Loreto Alicia</cp:lastModifiedBy>
  <cp:revision>9</cp:revision>
  <cp:lastPrinted>2017-09-22T13:53:00Z</cp:lastPrinted>
  <dcterms:created xsi:type="dcterms:W3CDTF">2017-09-26T17:20:00Z</dcterms:created>
  <dcterms:modified xsi:type="dcterms:W3CDTF">2017-09-26T17:41:00Z</dcterms:modified>
</cp:coreProperties>
</file>